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9808" w14:textId="30D91623" w:rsidR="00F52534" w:rsidRPr="000C77E7" w:rsidRDefault="00DE3079" w:rsidP="003C3B99">
      <w:pPr>
        <w:spacing w:after="0" w:line="240" w:lineRule="auto"/>
        <w:jc w:val="center"/>
        <w:rPr>
          <w:rFonts w:cstheme="minorHAnsi"/>
          <w:b/>
          <w:bCs/>
          <w:sz w:val="24"/>
        </w:rPr>
      </w:pPr>
      <w:r>
        <w:rPr>
          <w:b/>
          <w:sz w:val="24"/>
        </w:rPr>
        <w:t xml:space="preserve">Processus de nomination des juges </w:t>
      </w:r>
      <w:r w:rsidR="00792C4B">
        <w:rPr>
          <w:b/>
          <w:sz w:val="24"/>
        </w:rPr>
        <w:t>adjoints</w:t>
      </w:r>
    </w:p>
    <w:p w14:paraId="5B9E1829" w14:textId="45749E62" w:rsidR="00F52534" w:rsidRPr="000C77E7" w:rsidRDefault="00F52534" w:rsidP="003C3B99">
      <w:pPr>
        <w:spacing w:after="0" w:line="240" w:lineRule="auto"/>
        <w:jc w:val="center"/>
        <w:rPr>
          <w:rFonts w:cstheme="minorHAnsi"/>
          <w:b/>
          <w:bCs/>
          <w:sz w:val="24"/>
        </w:rPr>
      </w:pPr>
      <w:r>
        <w:rPr>
          <w:b/>
          <w:sz w:val="24"/>
        </w:rPr>
        <w:t>Cour du Banc du Roi du Manitoba</w:t>
      </w:r>
    </w:p>
    <w:p w14:paraId="5B11D202" w14:textId="77777777" w:rsidR="00F52534" w:rsidRDefault="00F52534" w:rsidP="003C3B99">
      <w:pPr>
        <w:spacing w:line="240" w:lineRule="auto"/>
        <w:jc w:val="both"/>
        <w:rPr>
          <w:rFonts w:cstheme="minorHAnsi"/>
          <w:b/>
          <w:bCs/>
        </w:rPr>
      </w:pPr>
    </w:p>
    <w:p w14:paraId="55B283E5" w14:textId="32E66678" w:rsidR="00F52534" w:rsidRPr="005C5432" w:rsidRDefault="00F52534" w:rsidP="003C3B99">
      <w:pPr>
        <w:numPr>
          <w:ilvl w:val="0"/>
          <w:numId w:val="2"/>
        </w:numPr>
        <w:spacing w:line="240" w:lineRule="auto"/>
        <w:jc w:val="both"/>
        <w:rPr>
          <w:rFonts w:cstheme="minorHAnsi"/>
          <w:b/>
          <w:bCs/>
          <w:sz w:val="24"/>
          <w:szCs w:val="24"/>
        </w:rPr>
      </w:pPr>
      <w:r>
        <w:rPr>
          <w:b/>
          <w:sz w:val="24"/>
        </w:rPr>
        <w:t xml:space="preserve">NOMINATION D’UN </w:t>
      </w:r>
      <w:r w:rsidR="00116BD5">
        <w:rPr>
          <w:b/>
          <w:sz w:val="24"/>
        </w:rPr>
        <w:t xml:space="preserve">JUGE ADJOINT </w:t>
      </w:r>
      <w:r>
        <w:rPr>
          <w:b/>
          <w:sz w:val="24"/>
        </w:rPr>
        <w:t>À LA COUR DU BANC DU ROI</w:t>
      </w:r>
    </w:p>
    <w:p w14:paraId="3C7ADAFB" w14:textId="77777777" w:rsidR="00F52534" w:rsidRPr="005C5432" w:rsidRDefault="00F52534" w:rsidP="003C3B99">
      <w:pPr>
        <w:numPr>
          <w:ilvl w:val="0"/>
          <w:numId w:val="3"/>
        </w:numPr>
        <w:spacing w:line="240" w:lineRule="auto"/>
        <w:jc w:val="both"/>
        <w:rPr>
          <w:rFonts w:cstheme="minorHAnsi"/>
          <w:bCs/>
          <w:sz w:val="24"/>
          <w:szCs w:val="24"/>
        </w:rPr>
      </w:pPr>
      <w:r>
        <w:rPr>
          <w:sz w:val="24"/>
        </w:rPr>
        <w:t>Formulaire de candidature</w:t>
      </w:r>
    </w:p>
    <w:p w14:paraId="502FB383" w14:textId="4CDF30AA" w:rsidR="00F52534" w:rsidRPr="005C5432" w:rsidRDefault="00F52534" w:rsidP="003C3B99">
      <w:pPr>
        <w:spacing w:line="240" w:lineRule="auto"/>
        <w:jc w:val="both"/>
        <w:rPr>
          <w:rFonts w:cstheme="minorHAnsi"/>
          <w:bCs/>
          <w:sz w:val="24"/>
          <w:szCs w:val="24"/>
        </w:rPr>
      </w:pPr>
      <w:r>
        <w:rPr>
          <w:sz w:val="24"/>
        </w:rPr>
        <w:t xml:space="preserve">Toute personne souhaitant poser sa candidature au poste de </w:t>
      </w:r>
      <w:r w:rsidR="00116BD5">
        <w:rPr>
          <w:sz w:val="24"/>
        </w:rPr>
        <w:t xml:space="preserve">juge adjoint </w:t>
      </w:r>
      <w:r>
        <w:rPr>
          <w:sz w:val="24"/>
        </w:rPr>
        <w:t xml:space="preserve">de la Cour du Banc du Roi doit remplir le </w:t>
      </w:r>
      <w:r>
        <w:rPr>
          <w:sz w:val="24"/>
          <w:u w:val="single"/>
        </w:rPr>
        <w:t>formulaire de candidature</w:t>
      </w:r>
      <w:r>
        <w:rPr>
          <w:sz w:val="24"/>
        </w:rPr>
        <w:t xml:space="preserve"> et le soumettre, en compagnie d’une lettre de présentation et d’un curriculum vitæ. Il faut soumettre l’original, ainsi que huit copies (la « candidature »).</w:t>
      </w:r>
    </w:p>
    <w:p w14:paraId="51068ABF" w14:textId="77777777" w:rsidR="00F52534" w:rsidRPr="005C5432" w:rsidRDefault="00F52534" w:rsidP="003C3B99">
      <w:pPr>
        <w:pStyle w:val="ListParagraph"/>
        <w:numPr>
          <w:ilvl w:val="0"/>
          <w:numId w:val="3"/>
        </w:numPr>
        <w:spacing w:line="240" w:lineRule="auto"/>
        <w:jc w:val="both"/>
        <w:rPr>
          <w:rFonts w:cstheme="minorHAnsi"/>
          <w:bCs/>
          <w:sz w:val="24"/>
          <w:szCs w:val="24"/>
        </w:rPr>
      </w:pPr>
      <w:r>
        <w:rPr>
          <w:sz w:val="24"/>
        </w:rPr>
        <w:t>Présentation de la candidature</w:t>
      </w:r>
    </w:p>
    <w:p w14:paraId="58006D94" w14:textId="5B92F3BD" w:rsidR="003E76A5" w:rsidRDefault="00F52534" w:rsidP="003C3B99">
      <w:pPr>
        <w:spacing w:line="240" w:lineRule="auto"/>
        <w:jc w:val="both"/>
        <w:rPr>
          <w:rFonts w:cstheme="minorHAnsi"/>
          <w:bCs/>
          <w:sz w:val="24"/>
          <w:szCs w:val="24"/>
        </w:rPr>
      </w:pPr>
      <w:r>
        <w:rPr>
          <w:sz w:val="24"/>
        </w:rPr>
        <w:t xml:space="preserve">Il est possible de présenter une candidature en tout temps ou en réponse à une annonce visant à pourvoir un poste de juge </w:t>
      </w:r>
      <w:r w:rsidR="00116BD5">
        <w:rPr>
          <w:sz w:val="24"/>
        </w:rPr>
        <w:t>adjoint</w:t>
      </w:r>
      <w:r>
        <w:rPr>
          <w:sz w:val="24"/>
        </w:rPr>
        <w:t xml:space="preserve">. La candidature doit être envoyée à l’attention de l’administrateur du Comité de nomination des juges </w:t>
      </w:r>
      <w:r w:rsidR="00116BD5">
        <w:rPr>
          <w:sz w:val="24"/>
        </w:rPr>
        <w:t>adjoints</w:t>
      </w:r>
      <w:r>
        <w:rPr>
          <w:sz w:val="24"/>
        </w:rPr>
        <w:t>, à l’adresse suivante : 2</w:t>
      </w:r>
      <w:r>
        <w:rPr>
          <w:sz w:val="24"/>
          <w:vertAlign w:val="superscript"/>
        </w:rPr>
        <w:t>e</w:t>
      </w:r>
      <w:r>
        <w:rPr>
          <w:sz w:val="24"/>
        </w:rPr>
        <w:t> étage, 408, avenue York, Winnipeg (</w:t>
      </w:r>
      <w:proofErr w:type="gramStart"/>
      <w:r>
        <w:rPr>
          <w:sz w:val="24"/>
        </w:rPr>
        <w:t>Manitoba)  R</w:t>
      </w:r>
      <w:proofErr w:type="gramEnd"/>
      <w:r>
        <w:rPr>
          <w:sz w:val="24"/>
        </w:rPr>
        <w:t xml:space="preserve">3C 0P9. Tous les documents du dossier de candidature doivent également être numérisés et envoyés par courriel à l’administrateur du Comité de nomination des juges puînés, à l’adresse : </w:t>
      </w:r>
      <w:hyperlink r:id="rId7" w:history="1">
        <w:r>
          <w:rPr>
            <w:rStyle w:val="Hyperlink"/>
            <w:sz w:val="24"/>
          </w:rPr>
          <w:t>associatejudgeapplication@gov.mb.ca</w:t>
        </w:r>
      </w:hyperlink>
    </w:p>
    <w:p w14:paraId="4A61AB7F" w14:textId="76CE1701" w:rsidR="003E76A5" w:rsidRDefault="00F52534" w:rsidP="003C3B99">
      <w:pPr>
        <w:spacing w:line="240" w:lineRule="auto"/>
        <w:jc w:val="both"/>
        <w:rPr>
          <w:rFonts w:cstheme="minorHAnsi"/>
          <w:bCs/>
          <w:sz w:val="24"/>
          <w:szCs w:val="24"/>
        </w:rPr>
      </w:pPr>
      <w:r>
        <w:rPr>
          <w:sz w:val="24"/>
        </w:rPr>
        <w:t xml:space="preserve">Les candidatures sont conservées dans les dossiers du Comité de nomination des juges </w:t>
      </w:r>
      <w:r w:rsidR="00116BD5">
        <w:rPr>
          <w:sz w:val="24"/>
        </w:rPr>
        <w:t>adjoints</w:t>
      </w:r>
      <w:r>
        <w:rPr>
          <w:sz w:val="24"/>
        </w:rPr>
        <w:t xml:space="preserve"> (le « Comité ») pour une période de trois ans à partir de la date d’évaluation de la demande. Les personnes qui présentent leur candidature peuvent cependant communiquer avec le Comité avant la fin de cette période si elles ne veulent plus que leur candidature soit envisagée pour un poste de juge </w:t>
      </w:r>
      <w:r w:rsidR="00116BD5">
        <w:rPr>
          <w:sz w:val="24"/>
        </w:rPr>
        <w:t>adjoint</w:t>
      </w:r>
      <w:r>
        <w:rPr>
          <w:sz w:val="24"/>
        </w:rPr>
        <w:t>.</w:t>
      </w:r>
    </w:p>
    <w:p w14:paraId="17F47E43" w14:textId="5C4E7EC1" w:rsidR="00F52534" w:rsidRPr="005C5432" w:rsidRDefault="00F52534" w:rsidP="003C3B99">
      <w:pPr>
        <w:pStyle w:val="ListParagraph"/>
        <w:numPr>
          <w:ilvl w:val="0"/>
          <w:numId w:val="3"/>
        </w:numPr>
        <w:spacing w:line="240" w:lineRule="auto"/>
        <w:jc w:val="both"/>
        <w:rPr>
          <w:rFonts w:cstheme="minorHAnsi"/>
          <w:bCs/>
          <w:sz w:val="24"/>
          <w:szCs w:val="24"/>
        </w:rPr>
      </w:pPr>
      <w:r>
        <w:rPr>
          <w:sz w:val="24"/>
        </w:rPr>
        <w:t>Entrevue et évaluation</w:t>
      </w:r>
    </w:p>
    <w:p w14:paraId="199C8575" w14:textId="7E89F710" w:rsidR="00F52534" w:rsidRPr="00881A41" w:rsidRDefault="00F52534" w:rsidP="003C3B99">
      <w:pPr>
        <w:spacing w:line="240" w:lineRule="auto"/>
        <w:jc w:val="both"/>
        <w:rPr>
          <w:rFonts w:cstheme="minorHAnsi"/>
          <w:bCs/>
          <w:sz w:val="24"/>
          <w:szCs w:val="24"/>
        </w:rPr>
      </w:pPr>
      <w:r>
        <w:rPr>
          <w:sz w:val="24"/>
        </w:rPr>
        <w:t xml:space="preserve">Le Comité procédera à toutes les vérifications nécessaires concernant un candidat afin de l’évaluer et de déterminer s’il dispose des qualifications requises pour exercer les fonctions de juge </w:t>
      </w:r>
      <w:r w:rsidR="00116BD5">
        <w:rPr>
          <w:sz w:val="24"/>
        </w:rPr>
        <w:t>adjoint</w:t>
      </w:r>
      <w:r>
        <w:rPr>
          <w:sz w:val="24"/>
        </w:rPr>
        <w:t>. Ces recherches pourraient notamment être effectuées auprès de la magistrature, du personnel judiciaire, des avocats, des associations de droit, des organismes communautaires et des organismes de services sociaux, ainsi que des personnes citées en référence.</w:t>
      </w:r>
    </w:p>
    <w:p w14:paraId="4996B76C" w14:textId="4BF5EB73" w:rsidR="003E76A5" w:rsidRDefault="00F52534" w:rsidP="003C3B99">
      <w:pPr>
        <w:spacing w:line="240" w:lineRule="auto"/>
        <w:jc w:val="both"/>
        <w:rPr>
          <w:rFonts w:cstheme="minorHAnsi"/>
          <w:bCs/>
          <w:sz w:val="24"/>
          <w:szCs w:val="24"/>
        </w:rPr>
      </w:pPr>
      <w:r>
        <w:rPr>
          <w:sz w:val="24"/>
        </w:rPr>
        <w:t xml:space="preserve">Lorsqu’un poste de </w:t>
      </w:r>
      <w:r w:rsidR="00116BD5">
        <w:rPr>
          <w:sz w:val="24"/>
        </w:rPr>
        <w:t xml:space="preserve">juge adjoint </w:t>
      </w:r>
      <w:r>
        <w:rPr>
          <w:sz w:val="24"/>
        </w:rPr>
        <w:t>se libère à la Cour du Banc du Roi, une offre d’emploi comportant une date limite pour la présentation des candidatures peut être publiée. Le Comité examinera également les demandes reçues en réponse à l’offre d’emploi publiée pour un poste en particulier.</w:t>
      </w:r>
    </w:p>
    <w:p w14:paraId="593D0150" w14:textId="1FFD0ADE" w:rsidR="00F52534" w:rsidRPr="005C5432" w:rsidRDefault="00F52534" w:rsidP="003C3B99">
      <w:pPr>
        <w:pStyle w:val="ListParagraph"/>
        <w:numPr>
          <w:ilvl w:val="0"/>
          <w:numId w:val="3"/>
        </w:numPr>
        <w:spacing w:line="240" w:lineRule="auto"/>
        <w:jc w:val="both"/>
        <w:rPr>
          <w:rFonts w:cstheme="minorHAnsi"/>
          <w:bCs/>
          <w:sz w:val="24"/>
          <w:szCs w:val="24"/>
        </w:rPr>
      </w:pPr>
      <w:r>
        <w:rPr>
          <w:sz w:val="24"/>
        </w:rPr>
        <w:t>Liste de candidats qualifiés en vue d’une nomination</w:t>
      </w:r>
    </w:p>
    <w:p w14:paraId="5848EB3F" w14:textId="0B5108CD" w:rsidR="003E76A5" w:rsidRDefault="00F52534" w:rsidP="003C3B99">
      <w:pPr>
        <w:spacing w:line="240" w:lineRule="auto"/>
        <w:jc w:val="both"/>
        <w:rPr>
          <w:rFonts w:cstheme="minorHAnsi"/>
          <w:bCs/>
          <w:sz w:val="24"/>
          <w:szCs w:val="24"/>
        </w:rPr>
      </w:pPr>
      <w:r>
        <w:rPr>
          <w:sz w:val="24"/>
        </w:rPr>
        <w:t xml:space="preserve">Si le Comité détermine qu’une personne possède les qualités professionnelles et personnelles nécessaires pour occuper le poste de juge </w:t>
      </w:r>
      <w:r w:rsidR="00116BD5">
        <w:rPr>
          <w:sz w:val="24"/>
        </w:rPr>
        <w:t>adjoint</w:t>
      </w:r>
      <w:r>
        <w:rPr>
          <w:sz w:val="24"/>
        </w:rPr>
        <w:t>, cette personne sera placée sur une liste de personnes qualifiées en vue d’une nomination à ce poste. Le Comité informera les candidats de la date d’évaluation de leur dossier, mais ils ne seront pas informés de leur inscription ou de leur non-inscription sur la liste de candidats qualifiés. La liste des candidats qualifiés reste confidentielle.</w:t>
      </w:r>
    </w:p>
    <w:p w14:paraId="7E2CF495" w14:textId="36077CBB" w:rsidR="00F52534" w:rsidRPr="005C5432" w:rsidRDefault="00F52534" w:rsidP="003C3B99">
      <w:pPr>
        <w:numPr>
          <w:ilvl w:val="0"/>
          <w:numId w:val="3"/>
        </w:numPr>
        <w:spacing w:line="240" w:lineRule="auto"/>
        <w:jc w:val="both"/>
        <w:rPr>
          <w:rFonts w:cstheme="minorHAnsi"/>
          <w:bCs/>
          <w:sz w:val="24"/>
          <w:szCs w:val="24"/>
        </w:rPr>
      </w:pPr>
      <w:r>
        <w:rPr>
          <w:sz w:val="24"/>
        </w:rPr>
        <w:lastRenderedPageBreak/>
        <w:t>Liste de candidats recommandés</w:t>
      </w:r>
    </w:p>
    <w:p w14:paraId="3FF3F41A" w14:textId="08FF21AB" w:rsidR="003E76A5" w:rsidRDefault="00F52534" w:rsidP="003C3B99">
      <w:pPr>
        <w:spacing w:line="240" w:lineRule="auto"/>
        <w:jc w:val="both"/>
        <w:rPr>
          <w:rFonts w:cstheme="minorHAnsi"/>
          <w:bCs/>
          <w:sz w:val="24"/>
          <w:szCs w:val="24"/>
        </w:rPr>
      </w:pPr>
      <w:r>
        <w:rPr>
          <w:sz w:val="24"/>
        </w:rPr>
        <w:t xml:space="preserve">Lorsque le ministre informe le juge en chef de la Cour du Banc du Roi (qui est également le président du Comité de nomination des juges </w:t>
      </w:r>
      <w:r w:rsidR="00116BD5">
        <w:rPr>
          <w:sz w:val="24"/>
        </w:rPr>
        <w:t>adjoints</w:t>
      </w:r>
      <w:r>
        <w:rPr>
          <w:sz w:val="24"/>
        </w:rPr>
        <w:t xml:space="preserve">) qu’il faut nommer quelqu’un à un poste de </w:t>
      </w:r>
      <w:r w:rsidR="00116BD5">
        <w:rPr>
          <w:sz w:val="24"/>
        </w:rPr>
        <w:t xml:space="preserve">juge adjoint </w:t>
      </w:r>
      <w:r>
        <w:rPr>
          <w:sz w:val="24"/>
        </w:rPr>
        <w:t xml:space="preserve">à la Cour, les membres du Comité se réunissent pour fournir au ministre une liste de trois à six personnes dont le Comité recommande la candidature. À cette étape, le Comité peut réaliser des entrevues et se renseigner sur les personnes qualifiées. Le nom des personnes recommandées ne doit pas être classé en ordre de préférence. Si le Comité n’est pas en mesure de recommander la candidature d’au moins trois personnes pour le poste de juge </w:t>
      </w:r>
      <w:r w:rsidR="00116BD5">
        <w:rPr>
          <w:sz w:val="24"/>
        </w:rPr>
        <w:t>adjoint</w:t>
      </w:r>
      <w:r>
        <w:rPr>
          <w:sz w:val="24"/>
        </w:rPr>
        <w:t>, il doit en faire part au ministre.</w:t>
      </w:r>
    </w:p>
    <w:p w14:paraId="6F0E2037" w14:textId="4B5D0D1A" w:rsidR="007F27E0" w:rsidRPr="007F27E0" w:rsidRDefault="00F52534" w:rsidP="003C3B99">
      <w:pPr>
        <w:pStyle w:val="ListParagraph"/>
        <w:keepNext/>
        <w:numPr>
          <w:ilvl w:val="0"/>
          <w:numId w:val="2"/>
        </w:numPr>
        <w:spacing w:line="240" w:lineRule="auto"/>
        <w:jc w:val="both"/>
        <w:rPr>
          <w:rFonts w:cstheme="minorHAnsi"/>
          <w:b/>
          <w:bCs/>
          <w:sz w:val="24"/>
          <w:szCs w:val="24"/>
        </w:rPr>
      </w:pPr>
      <w:r>
        <w:rPr>
          <w:b/>
          <w:sz w:val="24"/>
        </w:rPr>
        <w:t>QUALIFICATIONS</w:t>
      </w:r>
    </w:p>
    <w:p w14:paraId="2CF7033C" w14:textId="5C36E823" w:rsidR="00F52534" w:rsidRPr="00140D53" w:rsidRDefault="00F52534" w:rsidP="003C3B99">
      <w:pPr>
        <w:pStyle w:val="ListParagraph"/>
        <w:numPr>
          <w:ilvl w:val="0"/>
          <w:numId w:val="4"/>
        </w:numPr>
        <w:spacing w:line="240" w:lineRule="auto"/>
        <w:jc w:val="both"/>
        <w:rPr>
          <w:rFonts w:cstheme="minorHAnsi"/>
          <w:bCs/>
          <w:sz w:val="24"/>
          <w:szCs w:val="24"/>
        </w:rPr>
      </w:pPr>
      <w:r>
        <w:rPr>
          <w:sz w:val="24"/>
        </w:rPr>
        <w:t xml:space="preserve">Qualités requises par la </w:t>
      </w:r>
      <w:r>
        <w:rPr>
          <w:sz w:val="24"/>
          <w:u w:val="single"/>
        </w:rPr>
        <w:t xml:space="preserve">Loi sur la Cour du Banc du Roi </w:t>
      </w:r>
      <w:r>
        <w:rPr>
          <w:sz w:val="24"/>
        </w:rPr>
        <w:tab/>
      </w:r>
    </w:p>
    <w:p w14:paraId="6A003A93" w14:textId="2B2036C3" w:rsidR="003E76A5" w:rsidRDefault="00F52534" w:rsidP="003C3B99">
      <w:pPr>
        <w:spacing w:after="0" w:line="240" w:lineRule="auto"/>
        <w:jc w:val="both"/>
        <w:rPr>
          <w:rFonts w:cstheme="minorHAnsi"/>
          <w:bCs/>
          <w:sz w:val="24"/>
          <w:szCs w:val="24"/>
        </w:rPr>
      </w:pPr>
      <w:r>
        <w:rPr>
          <w:sz w:val="24"/>
        </w:rPr>
        <w:t xml:space="preserve">Seules les personnes qui remplissent les conditions suivantes peuvent être nommées juges </w:t>
      </w:r>
      <w:r w:rsidR="00116BD5">
        <w:rPr>
          <w:sz w:val="24"/>
        </w:rPr>
        <w:t>adjoint</w:t>
      </w:r>
      <w:r>
        <w:rPr>
          <w:sz w:val="24"/>
        </w:rPr>
        <w:t>:</w:t>
      </w:r>
    </w:p>
    <w:p w14:paraId="769CB011" w14:textId="3140B6F2" w:rsidR="007F27E0" w:rsidRPr="007F27E0" w:rsidRDefault="007F27E0" w:rsidP="003C3B99">
      <w:pPr>
        <w:pStyle w:val="ListParagraph"/>
        <w:numPr>
          <w:ilvl w:val="0"/>
          <w:numId w:val="8"/>
        </w:numPr>
        <w:spacing w:after="0" w:line="240" w:lineRule="auto"/>
        <w:ind w:left="357" w:hanging="357"/>
        <w:contextualSpacing w:val="0"/>
        <w:jc w:val="both"/>
        <w:rPr>
          <w:rFonts w:cstheme="minorHAnsi"/>
          <w:bCs/>
          <w:sz w:val="24"/>
          <w:szCs w:val="24"/>
        </w:rPr>
      </w:pPr>
      <w:proofErr w:type="gramStart"/>
      <w:r w:rsidRPr="007F27E0">
        <w:rPr>
          <w:sz w:val="24"/>
        </w:rPr>
        <w:t>être</w:t>
      </w:r>
      <w:proofErr w:type="gramEnd"/>
      <w:r w:rsidRPr="007F27E0">
        <w:rPr>
          <w:sz w:val="24"/>
        </w:rPr>
        <w:t xml:space="preserve"> membre en règle du Barreau du Manitoba</w:t>
      </w:r>
      <w:r w:rsidRPr="007F27E0">
        <w:rPr>
          <w:sz w:val="24"/>
        </w:rPr>
        <w:t xml:space="preserve"> </w:t>
      </w:r>
      <w:r>
        <w:rPr>
          <w:sz w:val="24"/>
        </w:rPr>
        <w:t>;</w:t>
      </w:r>
    </w:p>
    <w:p w14:paraId="4C2498B7" w14:textId="666D307B" w:rsidR="007F27E0" w:rsidRDefault="007F27E0" w:rsidP="003C3B99">
      <w:pPr>
        <w:pStyle w:val="ListParagraph"/>
        <w:numPr>
          <w:ilvl w:val="0"/>
          <w:numId w:val="8"/>
        </w:numPr>
        <w:spacing w:after="0" w:line="240" w:lineRule="auto"/>
        <w:ind w:left="357" w:hanging="357"/>
        <w:contextualSpacing w:val="0"/>
        <w:jc w:val="both"/>
        <w:rPr>
          <w:rFonts w:cstheme="minorHAnsi"/>
          <w:bCs/>
          <w:sz w:val="24"/>
          <w:szCs w:val="24"/>
        </w:rPr>
      </w:pPr>
      <w:proofErr w:type="gramStart"/>
      <w:r w:rsidRPr="007F27E0">
        <w:rPr>
          <w:rFonts w:cstheme="minorHAnsi"/>
          <w:bCs/>
          <w:sz w:val="24"/>
          <w:szCs w:val="24"/>
        </w:rPr>
        <w:t>avoir</w:t>
      </w:r>
      <w:proofErr w:type="gramEnd"/>
      <w:r w:rsidRPr="007F27E0">
        <w:rPr>
          <w:rFonts w:cstheme="minorHAnsi"/>
          <w:bCs/>
          <w:sz w:val="24"/>
          <w:szCs w:val="24"/>
        </w:rPr>
        <w:t xml:space="preserve"> le droit de pratiquer à titre d'avocat au Manitoba</w:t>
      </w:r>
      <w:r>
        <w:rPr>
          <w:rFonts w:cstheme="minorHAnsi"/>
          <w:bCs/>
          <w:sz w:val="24"/>
          <w:szCs w:val="24"/>
        </w:rPr>
        <w:t>;</w:t>
      </w:r>
    </w:p>
    <w:p w14:paraId="4B74FFE3" w14:textId="2815C682" w:rsidR="007F27E0" w:rsidRDefault="007F27E0" w:rsidP="003C3B99">
      <w:pPr>
        <w:pStyle w:val="ListParagraph"/>
        <w:numPr>
          <w:ilvl w:val="0"/>
          <w:numId w:val="8"/>
        </w:numPr>
        <w:spacing w:after="0" w:line="240" w:lineRule="auto"/>
        <w:ind w:left="357" w:hanging="357"/>
        <w:contextualSpacing w:val="0"/>
        <w:jc w:val="both"/>
        <w:rPr>
          <w:rFonts w:cstheme="minorHAnsi"/>
          <w:bCs/>
          <w:sz w:val="24"/>
          <w:szCs w:val="24"/>
        </w:rPr>
      </w:pPr>
      <w:proofErr w:type="gramStart"/>
      <w:r w:rsidRPr="007F27E0">
        <w:rPr>
          <w:rFonts w:cstheme="minorHAnsi"/>
          <w:bCs/>
          <w:sz w:val="24"/>
          <w:szCs w:val="24"/>
        </w:rPr>
        <w:t>avoir</w:t>
      </w:r>
      <w:proofErr w:type="gramEnd"/>
      <w:r w:rsidRPr="007F27E0">
        <w:rPr>
          <w:rFonts w:cstheme="minorHAnsi"/>
          <w:bCs/>
          <w:sz w:val="24"/>
          <w:szCs w:val="24"/>
        </w:rPr>
        <w:t xml:space="preserve"> pratiqué à titre d'avocat au Manitoba pendant au moins cinq ans ou avoir une autre expérience équivalente</w:t>
      </w:r>
      <w:r>
        <w:rPr>
          <w:rFonts w:cstheme="minorHAnsi"/>
          <w:bCs/>
          <w:sz w:val="24"/>
          <w:szCs w:val="24"/>
        </w:rPr>
        <w:t>.</w:t>
      </w:r>
    </w:p>
    <w:p w14:paraId="3BB64254" w14:textId="77777777" w:rsidR="007F27E0" w:rsidRPr="007F27E0" w:rsidRDefault="007F27E0" w:rsidP="003C3B99">
      <w:pPr>
        <w:pStyle w:val="ListParagraph"/>
        <w:spacing w:after="0" w:line="240" w:lineRule="auto"/>
        <w:ind w:left="357"/>
        <w:contextualSpacing w:val="0"/>
        <w:jc w:val="both"/>
        <w:rPr>
          <w:rFonts w:cstheme="minorHAnsi"/>
          <w:bCs/>
          <w:sz w:val="24"/>
          <w:szCs w:val="24"/>
        </w:rPr>
      </w:pPr>
    </w:p>
    <w:p w14:paraId="5B54DB8C" w14:textId="2D6EBAFA" w:rsidR="007F27E0" w:rsidRPr="007F27E0" w:rsidRDefault="00F52534" w:rsidP="003C3B99">
      <w:pPr>
        <w:pStyle w:val="ListParagraph"/>
        <w:numPr>
          <w:ilvl w:val="0"/>
          <w:numId w:val="4"/>
        </w:numPr>
        <w:spacing w:after="0" w:line="240" w:lineRule="auto"/>
        <w:ind w:left="1123"/>
        <w:contextualSpacing w:val="0"/>
        <w:jc w:val="both"/>
        <w:rPr>
          <w:rFonts w:cstheme="minorHAnsi"/>
          <w:bCs/>
          <w:sz w:val="24"/>
          <w:szCs w:val="24"/>
        </w:rPr>
      </w:pPr>
      <w:r w:rsidRPr="007F27E0">
        <w:rPr>
          <w:sz w:val="24"/>
        </w:rPr>
        <w:t>Qualités personnelles</w:t>
      </w:r>
    </w:p>
    <w:p w14:paraId="2233C5BD" w14:textId="77777777" w:rsidR="007F27E0" w:rsidRPr="007F27E0" w:rsidRDefault="007F27E0" w:rsidP="003C3B99">
      <w:pPr>
        <w:pStyle w:val="ListParagraph"/>
        <w:spacing w:after="0" w:line="240" w:lineRule="auto"/>
        <w:ind w:left="1123"/>
        <w:contextualSpacing w:val="0"/>
        <w:jc w:val="both"/>
        <w:rPr>
          <w:rFonts w:cstheme="minorHAnsi"/>
          <w:bCs/>
          <w:sz w:val="24"/>
          <w:szCs w:val="24"/>
        </w:rPr>
      </w:pPr>
    </w:p>
    <w:p w14:paraId="10456D1A" w14:textId="77777777" w:rsidR="00F52534" w:rsidRPr="005C5432" w:rsidRDefault="00F52534" w:rsidP="003C3B99">
      <w:pPr>
        <w:pStyle w:val="ListParagraph"/>
        <w:numPr>
          <w:ilvl w:val="0"/>
          <w:numId w:val="6"/>
        </w:numPr>
        <w:spacing w:after="0" w:line="240" w:lineRule="auto"/>
        <w:jc w:val="both"/>
        <w:rPr>
          <w:rFonts w:cstheme="minorHAnsi"/>
          <w:bCs/>
          <w:sz w:val="24"/>
          <w:szCs w:val="24"/>
        </w:rPr>
      </w:pPr>
      <w:r>
        <w:rPr>
          <w:sz w:val="24"/>
        </w:rPr>
        <w:t>Avoir la réputation d’être intègre, impartial et respectueux de la dignité de toute personne.</w:t>
      </w:r>
    </w:p>
    <w:p w14:paraId="1E4937C0" w14:textId="77777777" w:rsidR="003E76A5" w:rsidRDefault="00F52534" w:rsidP="003C3B99">
      <w:pPr>
        <w:pStyle w:val="ListParagraph"/>
        <w:numPr>
          <w:ilvl w:val="0"/>
          <w:numId w:val="6"/>
        </w:numPr>
        <w:spacing w:before="240" w:after="0" w:line="240" w:lineRule="auto"/>
        <w:jc w:val="both"/>
        <w:rPr>
          <w:rFonts w:cstheme="minorHAnsi"/>
          <w:bCs/>
          <w:sz w:val="24"/>
          <w:szCs w:val="24"/>
        </w:rPr>
      </w:pPr>
      <w:r>
        <w:rPr>
          <w:sz w:val="24"/>
        </w:rPr>
        <w:t>Être patient, flexible et ouvert d’esprit.</w:t>
      </w:r>
    </w:p>
    <w:p w14:paraId="457D5178" w14:textId="42966263" w:rsidR="00F52534" w:rsidRPr="005C5432" w:rsidRDefault="00F52534" w:rsidP="003C3B99">
      <w:pPr>
        <w:pStyle w:val="ListParagraph"/>
        <w:numPr>
          <w:ilvl w:val="0"/>
          <w:numId w:val="6"/>
        </w:numPr>
        <w:spacing w:before="240" w:after="0" w:line="240" w:lineRule="auto"/>
        <w:jc w:val="both"/>
        <w:rPr>
          <w:rFonts w:cstheme="minorHAnsi"/>
          <w:bCs/>
          <w:sz w:val="24"/>
          <w:szCs w:val="24"/>
        </w:rPr>
      </w:pPr>
      <w:r>
        <w:rPr>
          <w:sz w:val="24"/>
        </w:rPr>
        <w:t>Être en mesure de se déplacer dans tous les tribunaux de la Cour du Banc du Roi de la province.</w:t>
      </w:r>
    </w:p>
    <w:p w14:paraId="73AB4EDE" w14:textId="77777777" w:rsidR="00F52534" w:rsidRPr="005C5432" w:rsidRDefault="00F52534" w:rsidP="003C3B99">
      <w:pPr>
        <w:pStyle w:val="ListParagraph"/>
        <w:numPr>
          <w:ilvl w:val="0"/>
          <w:numId w:val="6"/>
        </w:numPr>
        <w:spacing w:before="240" w:after="0" w:line="240" w:lineRule="auto"/>
        <w:jc w:val="both"/>
        <w:rPr>
          <w:rFonts w:cstheme="minorHAnsi"/>
          <w:bCs/>
          <w:sz w:val="24"/>
          <w:szCs w:val="24"/>
        </w:rPr>
      </w:pPr>
      <w:r>
        <w:rPr>
          <w:sz w:val="24"/>
        </w:rPr>
        <w:t>Être capable de prendre des décisions rapidement ou dans un délai raisonnable.</w:t>
      </w:r>
    </w:p>
    <w:p w14:paraId="0DFD9888" w14:textId="77777777" w:rsidR="00F52534" w:rsidRPr="005C5432" w:rsidRDefault="00F52534" w:rsidP="003C3B99">
      <w:pPr>
        <w:pStyle w:val="ListParagraph"/>
        <w:numPr>
          <w:ilvl w:val="0"/>
          <w:numId w:val="6"/>
        </w:numPr>
        <w:spacing w:before="240" w:after="0" w:line="240" w:lineRule="auto"/>
        <w:jc w:val="both"/>
        <w:rPr>
          <w:rFonts w:cstheme="minorHAnsi"/>
          <w:bCs/>
          <w:sz w:val="24"/>
          <w:szCs w:val="24"/>
        </w:rPr>
      </w:pPr>
      <w:r>
        <w:rPr>
          <w:sz w:val="24"/>
        </w:rPr>
        <w:t>Ne pas faire l’objet de plaintes graves non réglées concernant ses services professionnels, de poursuites civiles ou de réclamations financières, comme des impôts non payés ou une procédure d’insolvabilité.</w:t>
      </w:r>
    </w:p>
    <w:p w14:paraId="54D152E0" w14:textId="77777777" w:rsidR="00F52534" w:rsidRPr="005C5432" w:rsidRDefault="00F52534" w:rsidP="003C3B99">
      <w:pPr>
        <w:pStyle w:val="ListParagraph"/>
        <w:numPr>
          <w:ilvl w:val="0"/>
          <w:numId w:val="4"/>
        </w:numPr>
        <w:spacing w:before="240" w:line="240" w:lineRule="auto"/>
        <w:ind w:left="1123"/>
        <w:contextualSpacing w:val="0"/>
        <w:jc w:val="both"/>
        <w:rPr>
          <w:rFonts w:cstheme="minorHAnsi"/>
          <w:bCs/>
          <w:sz w:val="24"/>
          <w:szCs w:val="24"/>
        </w:rPr>
      </w:pPr>
      <w:r>
        <w:rPr>
          <w:sz w:val="24"/>
        </w:rPr>
        <w:t>Excellence professionnelle</w:t>
      </w:r>
    </w:p>
    <w:p w14:paraId="7D65416D" w14:textId="77777777" w:rsidR="00F52534" w:rsidRPr="005C5432" w:rsidRDefault="00F52534" w:rsidP="003C3B99">
      <w:pPr>
        <w:pStyle w:val="ListParagraph"/>
        <w:numPr>
          <w:ilvl w:val="0"/>
          <w:numId w:val="5"/>
        </w:numPr>
        <w:spacing w:after="0" w:line="240" w:lineRule="auto"/>
        <w:jc w:val="both"/>
        <w:rPr>
          <w:rFonts w:cstheme="minorHAnsi"/>
          <w:bCs/>
          <w:sz w:val="24"/>
          <w:szCs w:val="24"/>
        </w:rPr>
      </w:pPr>
      <w:r>
        <w:rPr>
          <w:sz w:val="24"/>
        </w:rPr>
        <w:t>Posséder un haut niveau de réussite professionnelle dans les domaines du droit dans lesquels on exerce.</w:t>
      </w:r>
    </w:p>
    <w:p w14:paraId="308BDB93" w14:textId="5AD05AD3" w:rsidR="00F52534" w:rsidRDefault="00F52534" w:rsidP="003C3B99">
      <w:pPr>
        <w:pStyle w:val="ListParagraph"/>
        <w:numPr>
          <w:ilvl w:val="0"/>
          <w:numId w:val="5"/>
        </w:numPr>
        <w:spacing w:after="0" w:line="240" w:lineRule="auto"/>
        <w:jc w:val="both"/>
        <w:rPr>
          <w:rFonts w:cstheme="minorHAnsi"/>
          <w:bCs/>
          <w:sz w:val="24"/>
          <w:szCs w:val="24"/>
        </w:rPr>
      </w:pPr>
      <w:r>
        <w:rPr>
          <w:sz w:val="24"/>
        </w:rPr>
        <w:t>Pratiquer des activités qui permettent de rester au fait des changements en matière de</w:t>
      </w:r>
      <w:r w:rsidR="00853C37">
        <w:rPr>
          <w:sz w:val="24"/>
        </w:rPr>
        <w:t xml:space="preserve"> </w:t>
      </w:r>
      <w:r>
        <w:rPr>
          <w:sz w:val="24"/>
        </w:rPr>
        <w:t>droit et d’administration de la justice.</w:t>
      </w:r>
    </w:p>
    <w:p w14:paraId="00735C51" w14:textId="77777777" w:rsidR="00F52534" w:rsidRPr="005C5432" w:rsidRDefault="00F52534" w:rsidP="003C3B99">
      <w:pPr>
        <w:pStyle w:val="ListParagraph"/>
        <w:numPr>
          <w:ilvl w:val="0"/>
          <w:numId w:val="5"/>
        </w:numPr>
        <w:spacing w:after="0" w:line="240" w:lineRule="auto"/>
        <w:jc w:val="both"/>
        <w:rPr>
          <w:rFonts w:cstheme="minorHAnsi"/>
          <w:bCs/>
          <w:sz w:val="24"/>
          <w:szCs w:val="24"/>
        </w:rPr>
      </w:pPr>
      <w:r>
        <w:rPr>
          <w:sz w:val="24"/>
        </w:rPr>
        <w:t>Avoir de bonnes compétences en rédaction et en communication.</w:t>
      </w:r>
    </w:p>
    <w:p w14:paraId="64A92E98" w14:textId="77777777" w:rsidR="00F52534" w:rsidRPr="005C5432" w:rsidRDefault="00F52534" w:rsidP="003C3B99">
      <w:pPr>
        <w:pStyle w:val="ListParagraph"/>
        <w:numPr>
          <w:ilvl w:val="0"/>
          <w:numId w:val="5"/>
        </w:numPr>
        <w:spacing w:after="0" w:line="240" w:lineRule="auto"/>
        <w:jc w:val="both"/>
        <w:rPr>
          <w:rFonts w:cstheme="minorHAnsi"/>
          <w:bCs/>
          <w:sz w:val="24"/>
          <w:szCs w:val="24"/>
        </w:rPr>
      </w:pPr>
      <w:r>
        <w:rPr>
          <w:sz w:val="24"/>
        </w:rPr>
        <w:t>Faire preuve d’un grand professionnalisme (il s’agit du critère d’évaluation primordial).</w:t>
      </w:r>
    </w:p>
    <w:p w14:paraId="7F44E5F6" w14:textId="77777777" w:rsidR="003E76A5" w:rsidRDefault="00F52534" w:rsidP="003C3B99">
      <w:pPr>
        <w:pStyle w:val="ListParagraph"/>
        <w:numPr>
          <w:ilvl w:val="0"/>
          <w:numId w:val="4"/>
        </w:numPr>
        <w:spacing w:before="240" w:line="240" w:lineRule="auto"/>
        <w:ind w:left="1123"/>
        <w:contextualSpacing w:val="0"/>
        <w:jc w:val="both"/>
        <w:rPr>
          <w:rFonts w:cstheme="minorHAnsi"/>
          <w:bCs/>
          <w:sz w:val="24"/>
          <w:szCs w:val="24"/>
        </w:rPr>
      </w:pPr>
      <w:r>
        <w:rPr>
          <w:sz w:val="24"/>
        </w:rPr>
        <w:t>Connaissance et compréhension de la communauté</w:t>
      </w:r>
    </w:p>
    <w:p w14:paraId="05ED9258" w14:textId="79EC74AC" w:rsidR="00F52534" w:rsidRPr="001A4CB2" w:rsidRDefault="00F52534" w:rsidP="003C3B99">
      <w:pPr>
        <w:pStyle w:val="ListParagraph"/>
        <w:numPr>
          <w:ilvl w:val="0"/>
          <w:numId w:val="5"/>
        </w:numPr>
        <w:spacing w:after="0" w:line="240" w:lineRule="auto"/>
        <w:jc w:val="both"/>
        <w:rPr>
          <w:rFonts w:cstheme="minorHAnsi"/>
          <w:bCs/>
          <w:sz w:val="24"/>
          <w:szCs w:val="24"/>
        </w:rPr>
      </w:pPr>
      <w:r>
        <w:rPr>
          <w:sz w:val="24"/>
        </w:rPr>
        <w:t>Faire preuve d’engagement à l’égard du service public.</w:t>
      </w:r>
    </w:p>
    <w:p w14:paraId="0613E761" w14:textId="77777777" w:rsidR="00F52534" w:rsidRPr="00087EA7" w:rsidRDefault="00F52534" w:rsidP="003C3B99">
      <w:pPr>
        <w:pStyle w:val="ListParagraph"/>
        <w:numPr>
          <w:ilvl w:val="0"/>
          <w:numId w:val="5"/>
        </w:numPr>
        <w:spacing w:after="0" w:line="240" w:lineRule="auto"/>
        <w:jc w:val="both"/>
        <w:rPr>
          <w:rFonts w:cstheme="minorHAnsi"/>
          <w:bCs/>
          <w:sz w:val="24"/>
          <w:szCs w:val="24"/>
        </w:rPr>
      </w:pPr>
      <w:r>
        <w:rPr>
          <w:sz w:val="24"/>
        </w:rPr>
        <w:t>Bien comprendre les problèmes sociaux à l’origine des affaires jugées devant la Cour.</w:t>
      </w:r>
    </w:p>
    <w:p w14:paraId="44A02A90" w14:textId="77777777" w:rsidR="00F52534" w:rsidRPr="005C5432" w:rsidRDefault="00F52534" w:rsidP="003C3B99">
      <w:pPr>
        <w:pStyle w:val="ListParagraph"/>
        <w:numPr>
          <w:ilvl w:val="0"/>
          <w:numId w:val="4"/>
        </w:numPr>
        <w:spacing w:before="240" w:line="240" w:lineRule="auto"/>
        <w:ind w:left="1123"/>
        <w:contextualSpacing w:val="0"/>
        <w:jc w:val="both"/>
        <w:rPr>
          <w:rFonts w:cstheme="minorHAnsi"/>
          <w:bCs/>
          <w:sz w:val="24"/>
          <w:szCs w:val="24"/>
        </w:rPr>
      </w:pPr>
      <w:r>
        <w:rPr>
          <w:sz w:val="24"/>
        </w:rPr>
        <w:t>Diversité</w:t>
      </w:r>
    </w:p>
    <w:p w14:paraId="4F8DA43D" w14:textId="77777777" w:rsidR="00F52534" w:rsidRPr="005C5432" w:rsidRDefault="00F52534" w:rsidP="003C3B99">
      <w:pPr>
        <w:pStyle w:val="ListParagraph"/>
        <w:numPr>
          <w:ilvl w:val="0"/>
          <w:numId w:val="5"/>
        </w:numPr>
        <w:spacing w:after="0" w:line="240" w:lineRule="auto"/>
        <w:jc w:val="both"/>
        <w:rPr>
          <w:rFonts w:cstheme="minorHAnsi"/>
          <w:bCs/>
          <w:sz w:val="24"/>
          <w:szCs w:val="24"/>
        </w:rPr>
      </w:pPr>
      <w:r>
        <w:rPr>
          <w:sz w:val="24"/>
        </w:rPr>
        <w:t>Le Comité s’efforcera de veiller à ce que le bassin de candidats reflète la diversité du Manitoba.</w:t>
      </w:r>
    </w:p>
    <w:p w14:paraId="07E28E68" w14:textId="77777777" w:rsidR="00F52534" w:rsidRPr="00E474DD" w:rsidRDefault="00F52534" w:rsidP="003C3B99">
      <w:pPr>
        <w:pStyle w:val="ListParagraph"/>
        <w:numPr>
          <w:ilvl w:val="0"/>
          <w:numId w:val="5"/>
        </w:numPr>
        <w:spacing w:after="0" w:line="240" w:lineRule="auto"/>
        <w:jc w:val="both"/>
        <w:rPr>
          <w:rFonts w:cstheme="minorHAnsi"/>
          <w:bCs/>
          <w:sz w:val="24"/>
          <w:szCs w:val="24"/>
        </w:rPr>
      </w:pPr>
      <w:r>
        <w:rPr>
          <w:sz w:val="24"/>
        </w:rPr>
        <w:t>Le cas échéant, les personnes qui présentent leur candidature sont invitées à indiquer elles-mêmes si elles font partie d’une communauté de la diversité.</w:t>
      </w:r>
    </w:p>
    <w:p w14:paraId="197DE1E2" w14:textId="77777777" w:rsidR="00F52534" w:rsidRPr="005C5432" w:rsidRDefault="00F52534" w:rsidP="003C3B99">
      <w:pPr>
        <w:pStyle w:val="ListParagraph"/>
        <w:numPr>
          <w:ilvl w:val="0"/>
          <w:numId w:val="4"/>
        </w:numPr>
        <w:spacing w:before="240" w:line="240" w:lineRule="auto"/>
        <w:ind w:left="1123"/>
        <w:contextualSpacing w:val="0"/>
        <w:jc w:val="both"/>
        <w:rPr>
          <w:rFonts w:cstheme="minorHAnsi"/>
          <w:bCs/>
          <w:sz w:val="24"/>
          <w:szCs w:val="24"/>
        </w:rPr>
      </w:pPr>
      <w:r>
        <w:rPr>
          <w:sz w:val="24"/>
        </w:rPr>
        <w:t>Langue</w:t>
      </w:r>
    </w:p>
    <w:p w14:paraId="0D4F5420" w14:textId="77777777" w:rsidR="00F52534" w:rsidRDefault="00F52534" w:rsidP="003C3B99">
      <w:pPr>
        <w:pStyle w:val="ListParagraph"/>
        <w:numPr>
          <w:ilvl w:val="0"/>
          <w:numId w:val="5"/>
        </w:numPr>
        <w:spacing w:after="0" w:line="240" w:lineRule="auto"/>
        <w:jc w:val="both"/>
        <w:rPr>
          <w:rFonts w:cstheme="minorHAnsi"/>
          <w:bCs/>
          <w:sz w:val="24"/>
          <w:szCs w:val="24"/>
        </w:rPr>
      </w:pPr>
      <w:r>
        <w:rPr>
          <w:sz w:val="24"/>
        </w:rPr>
        <w:t>Les personnes qui présentent leur candidature sont invitées à indiquer toute langue parlée autre que l’anglais, ainsi que leur niveau de compétence dans cette langue.</w:t>
      </w:r>
    </w:p>
    <w:p w14:paraId="375B0BDE" w14:textId="77777777" w:rsidR="00F52534" w:rsidRDefault="00F52534" w:rsidP="003C3B99">
      <w:pPr>
        <w:pStyle w:val="ListParagraph"/>
        <w:spacing w:after="0" w:line="240" w:lineRule="auto"/>
        <w:jc w:val="both"/>
        <w:rPr>
          <w:rFonts w:cstheme="minorHAnsi"/>
          <w:bCs/>
          <w:sz w:val="24"/>
          <w:szCs w:val="24"/>
        </w:rPr>
      </w:pPr>
    </w:p>
    <w:p w14:paraId="3AE31EFD" w14:textId="77777777" w:rsidR="00F52534" w:rsidRPr="00372B19" w:rsidRDefault="00F52534" w:rsidP="003C3B99">
      <w:pPr>
        <w:pStyle w:val="ListParagraph"/>
        <w:numPr>
          <w:ilvl w:val="0"/>
          <w:numId w:val="2"/>
        </w:numPr>
        <w:spacing w:after="240" w:line="240" w:lineRule="auto"/>
        <w:jc w:val="both"/>
        <w:rPr>
          <w:rFonts w:cstheme="minorHAnsi"/>
          <w:b/>
          <w:bCs/>
          <w:sz w:val="24"/>
          <w:szCs w:val="24"/>
        </w:rPr>
      </w:pPr>
      <w:r>
        <w:rPr>
          <w:b/>
          <w:sz w:val="24"/>
        </w:rPr>
        <w:t>CONFIDENTIALITÉ</w:t>
      </w:r>
    </w:p>
    <w:p w14:paraId="3628937F" w14:textId="77777777" w:rsidR="00F52534" w:rsidRPr="005C5432" w:rsidRDefault="00F52534" w:rsidP="003C3B99">
      <w:pPr>
        <w:spacing w:after="0" w:line="240" w:lineRule="auto"/>
        <w:jc w:val="both"/>
        <w:rPr>
          <w:rFonts w:cstheme="minorHAnsi"/>
          <w:sz w:val="24"/>
          <w:szCs w:val="24"/>
        </w:rPr>
      </w:pPr>
      <w:bookmarkStart w:id="0" w:name="_Toc202762620"/>
      <w:bookmarkStart w:id="1" w:name="_Toc167096052"/>
      <w:bookmarkStart w:id="2" w:name="_Toc167095240"/>
      <w:bookmarkEnd w:id="0"/>
      <w:bookmarkEnd w:id="1"/>
      <w:bookmarkEnd w:id="2"/>
      <w:r>
        <w:rPr>
          <w:sz w:val="24"/>
        </w:rPr>
        <w:t>Le Comité est déterminé à protéger la confidentialité des renseignements qu’ils possèdent, conformément aux principes suivants :</w:t>
      </w:r>
    </w:p>
    <w:p w14:paraId="4DAF42D5" w14:textId="77777777" w:rsidR="00F52534" w:rsidRPr="005C5432" w:rsidRDefault="00F52534" w:rsidP="003C3B99">
      <w:pPr>
        <w:spacing w:after="0" w:line="240" w:lineRule="auto"/>
        <w:ind w:left="1440" w:hanging="720"/>
        <w:jc w:val="both"/>
        <w:rPr>
          <w:rFonts w:cstheme="minorHAnsi"/>
          <w:sz w:val="24"/>
          <w:szCs w:val="24"/>
        </w:rPr>
      </w:pPr>
      <w:r>
        <w:rPr>
          <w:sz w:val="24"/>
        </w:rPr>
        <w:t>a)</w:t>
      </w:r>
      <w:r>
        <w:rPr>
          <w:sz w:val="24"/>
        </w:rPr>
        <w:tab/>
        <w:t>les renseignements relatifs aux processus généraux du Comité sont ouverts à tous;</w:t>
      </w:r>
    </w:p>
    <w:p w14:paraId="57A3BB19" w14:textId="77777777" w:rsidR="00F52534" w:rsidRPr="005C5432" w:rsidRDefault="00F52534" w:rsidP="003C3B99">
      <w:pPr>
        <w:spacing w:after="0" w:line="240" w:lineRule="auto"/>
        <w:ind w:left="1440" w:hanging="720"/>
        <w:jc w:val="both"/>
        <w:rPr>
          <w:rFonts w:cstheme="minorHAnsi"/>
          <w:sz w:val="24"/>
          <w:szCs w:val="24"/>
        </w:rPr>
      </w:pPr>
      <w:r>
        <w:rPr>
          <w:sz w:val="24"/>
        </w:rPr>
        <w:t>b)</w:t>
      </w:r>
      <w:r>
        <w:rPr>
          <w:sz w:val="24"/>
        </w:rPr>
        <w:tab/>
        <w:t>les renseignements sur les personnes qui présentent leur candidature sont tenus confidentiels, à moins d’être divulgués par les personnes elles-mêmes.</w:t>
      </w:r>
    </w:p>
    <w:p w14:paraId="3F4D8021" w14:textId="77777777" w:rsidR="00F52534" w:rsidRPr="005C5432" w:rsidRDefault="00F52534" w:rsidP="003C3B99">
      <w:pPr>
        <w:spacing w:after="0" w:line="240" w:lineRule="auto"/>
        <w:jc w:val="both"/>
        <w:rPr>
          <w:rFonts w:cstheme="minorHAnsi"/>
          <w:sz w:val="24"/>
          <w:szCs w:val="24"/>
        </w:rPr>
      </w:pPr>
      <w:bookmarkStart w:id="3" w:name="_Toc202762621"/>
      <w:bookmarkStart w:id="4" w:name="_Toc167096053"/>
      <w:bookmarkStart w:id="5" w:name="_Toc167095241"/>
      <w:bookmarkEnd w:id="3"/>
      <w:bookmarkEnd w:id="4"/>
      <w:bookmarkEnd w:id="5"/>
    </w:p>
    <w:p w14:paraId="1B3947DC" w14:textId="77777777" w:rsidR="00F52534" w:rsidRPr="005C5432" w:rsidRDefault="00F52534" w:rsidP="003C3B99">
      <w:pPr>
        <w:spacing w:after="0" w:line="240" w:lineRule="auto"/>
        <w:jc w:val="both"/>
        <w:rPr>
          <w:rFonts w:cstheme="minorHAnsi"/>
          <w:sz w:val="24"/>
          <w:szCs w:val="24"/>
        </w:rPr>
      </w:pPr>
      <w:r>
        <w:rPr>
          <w:sz w:val="24"/>
        </w:rPr>
        <w:t>Le Comité met tout en œuvre pour protéger les renseignements personnels des candidats. Il s’agit notamment des mesures suivantes :</w:t>
      </w:r>
    </w:p>
    <w:p w14:paraId="7F867C8A" w14:textId="77777777" w:rsidR="00F52534" w:rsidRPr="005C5432" w:rsidRDefault="00F52534" w:rsidP="003C3B99">
      <w:pPr>
        <w:numPr>
          <w:ilvl w:val="0"/>
          <w:numId w:val="1"/>
        </w:numPr>
        <w:spacing w:after="0" w:line="240" w:lineRule="auto"/>
        <w:jc w:val="both"/>
        <w:rPr>
          <w:rFonts w:cstheme="minorHAnsi"/>
          <w:sz w:val="24"/>
          <w:szCs w:val="24"/>
        </w:rPr>
      </w:pPr>
      <w:proofErr w:type="gramStart"/>
      <w:r>
        <w:rPr>
          <w:sz w:val="24"/>
        </w:rPr>
        <w:t>garder</w:t>
      </w:r>
      <w:proofErr w:type="gramEnd"/>
      <w:r>
        <w:rPr>
          <w:sz w:val="24"/>
        </w:rPr>
        <w:t xml:space="preserve"> l’information sensible en lieu sûr;</w:t>
      </w:r>
    </w:p>
    <w:p w14:paraId="6564AE1F" w14:textId="77777777" w:rsidR="00F52534" w:rsidRPr="005C5432" w:rsidRDefault="00F52534" w:rsidP="003C3B99">
      <w:pPr>
        <w:numPr>
          <w:ilvl w:val="0"/>
          <w:numId w:val="1"/>
        </w:numPr>
        <w:spacing w:after="0" w:line="240" w:lineRule="auto"/>
        <w:jc w:val="both"/>
        <w:rPr>
          <w:rFonts w:cstheme="minorHAnsi"/>
          <w:sz w:val="24"/>
          <w:szCs w:val="24"/>
        </w:rPr>
      </w:pPr>
      <w:proofErr w:type="gramStart"/>
      <w:r>
        <w:rPr>
          <w:sz w:val="24"/>
        </w:rPr>
        <w:t>s’assurer</w:t>
      </w:r>
      <w:proofErr w:type="gramEnd"/>
      <w:r>
        <w:rPr>
          <w:sz w:val="24"/>
        </w:rPr>
        <w:t xml:space="preserve"> que les personnes qui présentent leur candidature ne soient pas mises ensemble les jours où les entrevues ont lieu;</w:t>
      </w:r>
    </w:p>
    <w:p w14:paraId="6278BBFE" w14:textId="77777777" w:rsidR="00F52534" w:rsidRPr="005C5432" w:rsidRDefault="00F52534" w:rsidP="003C3B99">
      <w:pPr>
        <w:numPr>
          <w:ilvl w:val="0"/>
          <w:numId w:val="1"/>
        </w:numPr>
        <w:spacing w:after="0" w:line="240" w:lineRule="auto"/>
        <w:jc w:val="both"/>
        <w:rPr>
          <w:rFonts w:cstheme="minorHAnsi"/>
          <w:sz w:val="24"/>
          <w:szCs w:val="24"/>
        </w:rPr>
      </w:pPr>
      <w:proofErr w:type="gramStart"/>
      <w:r>
        <w:rPr>
          <w:sz w:val="24"/>
        </w:rPr>
        <w:t>détruire</w:t>
      </w:r>
      <w:proofErr w:type="gramEnd"/>
      <w:r>
        <w:rPr>
          <w:sz w:val="24"/>
        </w:rPr>
        <w:t xml:space="preserve"> ou déchiqueter les demandes et les notes dès que possible après la nomination d’une personne au poste en question;</w:t>
      </w:r>
    </w:p>
    <w:p w14:paraId="4CD0EC38" w14:textId="77777777" w:rsidR="00F52534" w:rsidRPr="005C5432" w:rsidRDefault="00F52534" w:rsidP="003C3B99">
      <w:pPr>
        <w:numPr>
          <w:ilvl w:val="0"/>
          <w:numId w:val="1"/>
        </w:numPr>
        <w:spacing w:after="0" w:line="240" w:lineRule="auto"/>
        <w:jc w:val="both"/>
        <w:rPr>
          <w:rFonts w:cstheme="minorHAnsi"/>
          <w:sz w:val="24"/>
          <w:szCs w:val="24"/>
        </w:rPr>
      </w:pPr>
      <w:proofErr w:type="gramStart"/>
      <w:r>
        <w:rPr>
          <w:sz w:val="24"/>
        </w:rPr>
        <w:t>informer</w:t>
      </w:r>
      <w:proofErr w:type="gramEnd"/>
      <w:r>
        <w:rPr>
          <w:sz w:val="24"/>
        </w:rPr>
        <w:t xml:space="preserve"> les personnes citées en référence que le Comité assurera la confidentialité de tous les renseignements fournis;</w:t>
      </w:r>
    </w:p>
    <w:p w14:paraId="0602FE3C" w14:textId="77777777" w:rsidR="00F52534" w:rsidRPr="005C5432" w:rsidRDefault="00F52534" w:rsidP="003C3B99">
      <w:pPr>
        <w:numPr>
          <w:ilvl w:val="0"/>
          <w:numId w:val="1"/>
        </w:numPr>
        <w:spacing w:after="0" w:line="240" w:lineRule="auto"/>
        <w:jc w:val="both"/>
        <w:rPr>
          <w:rFonts w:cstheme="minorHAnsi"/>
          <w:sz w:val="24"/>
          <w:szCs w:val="24"/>
        </w:rPr>
      </w:pPr>
      <w:proofErr w:type="gramStart"/>
      <w:r>
        <w:rPr>
          <w:sz w:val="24"/>
        </w:rPr>
        <w:t>informer</w:t>
      </w:r>
      <w:proofErr w:type="gramEnd"/>
      <w:r>
        <w:rPr>
          <w:sz w:val="24"/>
        </w:rPr>
        <w:t xml:space="preserve"> les avocats, les juges, le personnel judiciaire et les personnes-ressources de la communauté avec qui le Comité a communiqué de manière confidentielle pour obtenir des renseignements sur les personnes qui présentent leur candidature que leur nom ne sera aucunement associé à leurs commentaires;</w:t>
      </w:r>
    </w:p>
    <w:p w14:paraId="3BDFE7C3" w14:textId="77777777" w:rsidR="00EC17F4" w:rsidRDefault="00F52534" w:rsidP="003C3B99">
      <w:pPr>
        <w:jc w:val="both"/>
        <w:rPr>
          <w:sz w:val="24"/>
        </w:rPr>
      </w:pPr>
      <w:proofErr w:type="gramStart"/>
      <w:r>
        <w:rPr>
          <w:sz w:val="24"/>
        </w:rPr>
        <w:t>interdire</w:t>
      </w:r>
      <w:proofErr w:type="gramEnd"/>
      <w:r>
        <w:rPr>
          <w:sz w:val="24"/>
        </w:rPr>
        <w:t xml:space="preserve"> l’accès aux dossiers de candidature, y compris au personnel du gouvernement qui ne siège pas au Comité ou qui n’y est pas lié.</w:t>
      </w:r>
    </w:p>
    <w:p w14:paraId="56DADF93" w14:textId="77777777" w:rsidR="007F27E0" w:rsidRDefault="007F27E0" w:rsidP="003C3B99">
      <w:pPr>
        <w:jc w:val="both"/>
        <w:rPr>
          <w:sz w:val="24"/>
        </w:rPr>
      </w:pPr>
    </w:p>
    <w:p w14:paraId="3D7DAB69" w14:textId="617F10E0" w:rsidR="007F27E0" w:rsidRDefault="007F27E0" w:rsidP="003C3B99">
      <w:pPr>
        <w:jc w:val="both"/>
      </w:pPr>
      <w:r>
        <w:rPr>
          <w:sz w:val="24"/>
        </w:rPr>
        <w:t>August 22, 2025</w:t>
      </w:r>
    </w:p>
    <w:sectPr w:rsidR="007F27E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F749" w14:textId="77777777" w:rsidR="00D24C1A" w:rsidRDefault="00D24C1A" w:rsidP="0041746E">
      <w:pPr>
        <w:spacing w:after="0" w:line="240" w:lineRule="auto"/>
      </w:pPr>
      <w:r>
        <w:separator/>
      </w:r>
    </w:p>
  </w:endnote>
  <w:endnote w:type="continuationSeparator" w:id="0">
    <w:p w14:paraId="1CEE9B2C" w14:textId="77777777" w:rsidR="00D24C1A" w:rsidRDefault="00D24C1A" w:rsidP="0041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530604"/>
      <w:docPartObj>
        <w:docPartGallery w:val="Page Numbers (Bottom of Page)"/>
        <w:docPartUnique/>
      </w:docPartObj>
    </w:sdtPr>
    <w:sdtEndPr>
      <w:rPr>
        <w:noProof/>
      </w:rPr>
    </w:sdtEndPr>
    <w:sdtContent>
      <w:p w14:paraId="2C423047" w14:textId="77777777" w:rsidR="0041746E" w:rsidRDefault="0041746E">
        <w:pPr>
          <w:pStyle w:val="Footer"/>
          <w:jc w:val="right"/>
        </w:pPr>
        <w:r>
          <w:fldChar w:fldCharType="begin"/>
        </w:r>
        <w:r>
          <w:instrText xml:space="preserve"> PAGE   \* MERGEFORMAT </w:instrText>
        </w:r>
        <w:r>
          <w:fldChar w:fldCharType="separate"/>
        </w:r>
        <w:r w:rsidR="007D602B">
          <w:t>2</w:t>
        </w:r>
        <w:r>
          <w:fldChar w:fldCharType="end"/>
        </w:r>
      </w:p>
    </w:sdtContent>
  </w:sdt>
  <w:p w14:paraId="0242E1CC" w14:textId="77777777" w:rsidR="0041746E" w:rsidRDefault="0041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F395" w14:textId="77777777" w:rsidR="00D24C1A" w:rsidRDefault="00D24C1A" w:rsidP="0041746E">
      <w:pPr>
        <w:spacing w:after="0" w:line="240" w:lineRule="auto"/>
      </w:pPr>
      <w:r>
        <w:separator/>
      </w:r>
    </w:p>
  </w:footnote>
  <w:footnote w:type="continuationSeparator" w:id="0">
    <w:p w14:paraId="40507F2D" w14:textId="77777777" w:rsidR="00D24C1A" w:rsidRDefault="00D24C1A" w:rsidP="0041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25B"/>
    <w:multiLevelType w:val="hybridMultilevel"/>
    <w:tmpl w:val="257082B8"/>
    <w:lvl w:ilvl="0" w:tplc="10090001">
      <w:start w:val="1"/>
      <w:numFmt w:val="bullet"/>
      <w:lvlText w:val=""/>
      <w:lvlJc w:val="left"/>
      <w:pPr>
        <w:ind w:left="1843" w:hanging="360"/>
      </w:pPr>
      <w:rPr>
        <w:rFonts w:ascii="Symbol" w:hAnsi="Symbol" w:hint="default"/>
      </w:rPr>
    </w:lvl>
    <w:lvl w:ilvl="1" w:tplc="10090003" w:tentative="1">
      <w:start w:val="1"/>
      <w:numFmt w:val="bullet"/>
      <w:lvlText w:val="o"/>
      <w:lvlJc w:val="left"/>
      <w:pPr>
        <w:ind w:left="2563" w:hanging="360"/>
      </w:pPr>
      <w:rPr>
        <w:rFonts w:ascii="Courier New" w:hAnsi="Courier New" w:cs="Courier New" w:hint="default"/>
      </w:rPr>
    </w:lvl>
    <w:lvl w:ilvl="2" w:tplc="10090005" w:tentative="1">
      <w:start w:val="1"/>
      <w:numFmt w:val="bullet"/>
      <w:lvlText w:val=""/>
      <w:lvlJc w:val="left"/>
      <w:pPr>
        <w:ind w:left="3283" w:hanging="360"/>
      </w:pPr>
      <w:rPr>
        <w:rFonts w:ascii="Wingdings" w:hAnsi="Wingdings" w:hint="default"/>
      </w:rPr>
    </w:lvl>
    <w:lvl w:ilvl="3" w:tplc="10090001" w:tentative="1">
      <w:start w:val="1"/>
      <w:numFmt w:val="bullet"/>
      <w:lvlText w:val=""/>
      <w:lvlJc w:val="left"/>
      <w:pPr>
        <w:ind w:left="4003" w:hanging="360"/>
      </w:pPr>
      <w:rPr>
        <w:rFonts w:ascii="Symbol" w:hAnsi="Symbol" w:hint="default"/>
      </w:rPr>
    </w:lvl>
    <w:lvl w:ilvl="4" w:tplc="10090003" w:tentative="1">
      <w:start w:val="1"/>
      <w:numFmt w:val="bullet"/>
      <w:lvlText w:val="o"/>
      <w:lvlJc w:val="left"/>
      <w:pPr>
        <w:ind w:left="4723" w:hanging="360"/>
      </w:pPr>
      <w:rPr>
        <w:rFonts w:ascii="Courier New" w:hAnsi="Courier New" w:cs="Courier New" w:hint="default"/>
      </w:rPr>
    </w:lvl>
    <w:lvl w:ilvl="5" w:tplc="10090005" w:tentative="1">
      <w:start w:val="1"/>
      <w:numFmt w:val="bullet"/>
      <w:lvlText w:val=""/>
      <w:lvlJc w:val="left"/>
      <w:pPr>
        <w:ind w:left="5443" w:hanging="360"/>
      </w:pPr>
      <w:rPr>
        <w:rFonts w:ascii="Wingdings" w:hAnsi="Wingdings" w:hint="default"/>
      </w:rPr>
    </w:lvl>
    <w:lvl w:ilvl="6" w:tplc="10090001" w:tentative="1">
      <w:start w:val="1"/>
      <w:numFmt w:val="bullet"/>
      <w:lvlText w:val=""/>
      <w:lvlJc w:val="left"/>
      <w:pPr>
        <w:ind w:left="6163" w:hanging="360"/>
      </w:pPr>
      <w:rPr>
        <w:rFonts w:ascii="Symbol" w:hAnsi="Symbol" w:hint="default"/>
      </w:rPr>
    </w:lvl>
    <w:lvl w:ilvl="7" w:tplc="10090003" w:tentative="1">
      <w:start w:val="1"/>
      <w:numFmt w:val="bullet"/>
      <w:lvlText w:val="o"/>
      <w:lvlJc w:val="left"/>
      <w:pPr>
        <w:ind w:left="6883" w:hanging="360"/>
      </w:pPr>
      <w:rPr>
        <w:rFonts w:ascii="Courier New" w:hAnsi="Courier New" w:cs="Courier New" w:hint="default"/>
      </w:rPr>
    </w:lvl>
    <w:lvl w:ilvl="8" w:tplc="10090005" w:tentative="1">
      <w:start w:val="1"/>
      <w:numFmt w:val="bullet"/>
      <w:lvlText w:val=""/>
      <w:lvlJc w:val="left"/>
      <w:pPr>
        <w:ind w:left="7603" w:hanging="360"/>
      </w:pPr>
      <w:rPr>
        <w:rFonts w:ascii="Wingdings" w:hAnsi="Wingdings" w:hint="default"/>
      </w:rPr>
    </w:lvl>
  </w:abstractNum>
  <w:abstractNum w:abstractNumId="1" w15:restartNumberingAfterBreak="0">
    <w:nsid w:val="072E2D53"/>
    <w:multiLevelType w:val="hybridMultilevel"/>
    <w:tmpl w:val="09240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996C45"/>
    <w:multiLevelType w:val="multilevel"/>
    <w:tmpl w:val="AA2C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F2580"/>
    <w:multiLevelType w:val="hybridMultilevel"/>
    <w:tmpl w:val="B84262B6"/>
    <w:lvl w:ilvl="0" w:tplc="336E7A42">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9013B95"/>
    <w:multiLevelType w:val="hybridMultilevel"/>
    <w:tmpl w:val="E1AE7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936515"/>
    <w:multiLevelType w:val="hybridMultilevel"/>
    <w:tmpl w:val="88A0CB56"/>
    <w:lvl w:ilvl="0" w:tplc="10090019">
      <w:start w:val="1"/>
      <w:numFmt w:val="lowerLetter"/>
      <w:lvlText w:val="%1."/>
      <w:lvlJc w:val="left"/>
      <w:pPr>
        <w:ind w:left="928"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EC42EEA"/>
    <w:multiLevelType w:val="hybridMultilevel"/>
    <w:tmpl w:val="199602D2"/>
    <w:lvl w:ilvl="0" w:tplc="4EE07A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D0B561B"/>
    <w:multiLevelType w:val="hybridMultilevel"/>
    <w:tmpl w:val="F8161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7382332">
    <w:abstractNumId w:val="2"/>
  </w:num>
  <w:num w:numId="2" w16cid:durableId="976495237">
    <w:abstractNumId w:val="3"/>
  </w:num>
  <w:num w:numId="3" w16cid:durableId="2064982589">
    <w:abstractNumId w:val="6"/>
  </w:num>
  <w:num w:numId="4" w16cid:durableId="1305236633">
    <w:abstractNumId w:val="5"/>
  </w:num>
  <w:num w:numId="5" w16cid:durableId="1902403427">
    <w:abstractNumId w:val="4"/>
  </w:num>
  <w:num w:numId="6" w16cid:durableId="1328702548">
    <w:abstractNumId w:val="7"/>
  </w:num>
  <w:num w:numId="7" w16cid:durableId="217739792">
    <w:abstractNumId w:val="1"/>
  </w:num>
  <w:num w:numId="8" w16cid:durableId="18201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34"/>
    <w:rsid w:val="00116BD5"/>
    <w:rsid w:val="001E3250"/>
    <w:rsid w:val="003C3B99"/>
    <w:rsid w:val="003E76A5"/>
    <w:rsid w:val="0041746E"/>
    <w:rsid w:val="004A1C9C"/>
    <w:rsid w:val="005F4FA5"/>
    <w:rsid w:val="00611CBC"/>
    <w:rsid w:val="00792C4B"/>
    <w:rsid w:val="007D602B"/>
    <w:rsid w:val="007F27E0"/>
    <w:rsid w:val="00853C37"/>
    <w:rsid w:val="00855503"/>
    <w:rsid w:val="009C4EC9"/>
    <w:rsid w:val="00AF26D0"/>
    <w:rsid w:val="00CC26F6"/>
    <w:rsid w:val="00CF7448"/>
    <w:rsid w:val="00D24C1A"/>
    <w:rsid w:val="00DE3079"/>
    <w:rsid w:val="00E17F63"/>
    <w:rsid w:val="00E40744"/>
    <w:rsid w:val="00EC17F4"/>
    <w:rsid w:val="00F211CE"/>
    <w:rsid w:val="00F525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0A08"/>
  <w15:chartTrackingRefBased/>
  <w15:docId w15:val="{B919B6E7-24E7-466C-AA7F-BAA1081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34"/>
    <w:rPr>
      <w:color w:val="0563C1" w:themeColor="hyperlink"/>
      <w:u w:val="single"/>
    </w:rPr>
  </w:style>
  <w:style w:type="paragraph" w:styleId="ListParagraph">
    <w:name w:val="List Paragraph"/>
    <w:basedOn w:val="Normal"/>
    <w:uiPriority w:val="34"/>
    <w:qFormat/>
    <w:rsid w:val="00F52534"/>
    <w:pPr>
      <w:ind w:left="720"/>
      <w:contextualSpacing/>
    </w:pPr>
  </w:style>
  <w:style w:type="character" w:styleId="FollowedHyperlink">
    <w:name w:val="FollowedHyperlink"/>
    <w:basedOn w:val="DefaultParagraphFont"/>
    <w:uiPriority w:val="99"/>
    <w:semiHidden/>
    <w:unhideWhenUsed/>
    <w:rsid w:val="00F52534"/>
    <w:rPr>
      <w:color w:val="954F72" w:themeColor="followedHyperlink"/>
      <w:u w:val="single"/>
    </w:rPr>
  </w:style>
  <w:style w:type="paragraph" w:styleId="Header">
    <w:name w:val="header"/>
    <w:basedOn w:val="Normal"/>
    <w:link w:val="HeaderChar"/>
    <w:uiPriority w:val="99"/>
    <w:unhideWhenUsed/>
    <w:rsid w:val="0041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6E"/>
  </w:style>
  <w:style w:type="paragraph" w:styleId="Footer">
    <w:name w:val="footer"/>
    <w:basedOn w:val="Normal"/>
    <w:link w:val="FooterChar"/>
    <w:uiPriority w:val="99"/>
    <w:unhideWhenUsed/>
    <w:rsid w:val="0041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6E"/>
  </w:style>
  <w:style w:type="character" w:styleId="UnresolvedMention">
    <w:name w:val="Unresolved Mention"/>
    <w:basedOn w:val="DefaultParagraphFont"/>
    <w:uiPriority w:val="99"/>
    <w:semiHidden/>
    <w:unhideWhenUsed/>
    <w:rsid w:val="00DE3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sociatejudgeapplication@gov.m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Kuchinski, Sandy (JUS)</dc:creator>
  <cp:keywords/>
  <dc:description/>
  <cp:lastModifiedBy>Kuchinski, Sandy</cp:lastModifiedBy>
  <cp:revision>2</cp:revision>
  <dcterms:created xsi:type="dcterms:W3CDTF">2025-08-22T20:05:00Z</dcterms:created>
  <dcterms:modified xsi:type="dcterms:W3CDTF">2025-08-22T20:05:00Z</dcterms:modified>
</cp:coreProperties>
</file>