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6B32" w14:textId="77777777" w:rsidR="008C32B7" w:rsidRDefault="00EF6954">
      <w:pPr>
        <w:pStyle w:val="Heading1"/>
        <w:spacing w:before="78"/>
        <w:ind w:left="0" w:right="18"/>
        <w:jc w:val="center"/>
      </w:pPr>
      <w:r>
        <w:t>COUR PROVINCIALE DU MANITOBA</w:t>
      </w:r>
    </w:p>
    <w:p w14:paraId="6EBA386D" w14:textId="77777777" w:rsidR="008C32B7" w:rsidRDefault="00EF6954">
      <w:pPr>
        <w:spacing w:before="22"/>
        <w:ind w:left="2" w:right="18"/>
        <w:jc w:val="center"/>
        <w:rPr>
          <w:b/>
          <w:sz w:val="24"/>
        </w:rPr>
      </w:pPr>
      <w:r>
        <w:rPr>
          <w:b/>
          <w:sz w:val="24"/>
        </w:rPr>
        <w:t>Processus de nomination des juges</w:t>
      </w:r>
    </w:p>
    <w:p w14:paraId="79139093" w14:textId="77777777" w:rsidR="008C32B7" w:rsidRPr="00030624" w:rsidRDefault="008C32B7">
      <w:pPr>
        <w:pStyle w:val="BodyText"/>
        <w:spacing w:before="105"/>
        <w:ind w:left="0" w:firstLine="0"/>
        <w:rPr>
          <w:bCs/>
        </w:rPr>
      </w:pPr>
    </w:p>
    <w:p w14:paraId="7E9E55A7" w14:textId="77777777" w:rsidR="008C32B7" w:rsidRDefault="00EF6954">
      <w:pPr>
        <w:pStyle w:val="Heading1"/>
      </w:pPr>
      <w:r>
        <w:t>PRÉAMBULE</w:t>
      </w:r>
    </w:p>
    <w:p w14:paraId="1B48EA6C" w14:textId="77777777" w:rsidR="008C32B7" w:rsidRDefault="00EF6954" w:rsidP="00545FFC">
      <w:pPr>
        <w:pStyle w:val="BodyText"/>
        <w:spacing w:before="180" w:line="261" w:lineRule="auto"/>
        <w:ind w:left="100" w:firstLine="0"/>
        <w:jc w:val="both"/>
      </w:pPr>
      <w:r>
        <w:t>Le processus de nomination des juges est établi en vertu de la partie I de la Loi sur la Cour provinciale. Les étapes administratives qui doivent être suivies pour appuyer le processus législatif de nomination sont énoncées ci-dessous.</w:t>
      </w:r>
    </w:p>
    <w:p w14:paraId="5755E35C" w14:textId="77777777" w:rsidR="008C32B7" w:rsidRDefault="008C32B7">
      <w:pPr>
        <w:pStyle w:val="BodyText"/>
        <w:spacing w:before="0"/>
        <w:ind w:left="0" w:firstLine="0"/>
      </w:pPr>
    </w:p>
    <w:p w14:paraId="15002E1F" w14:textId="77777777" w:rsidR="008C32B7" w:rsidRDefault="008C32B7">
      <w:pPr>
        <w:pStyle w:val="BodyText"/>
        <w:spacing w:before="64"/>
        <w:ind w:left="0" w:firstLine="0"/>
      </w:pPr>
    </w:p>
    <w:p w14:paraId="42F60BBE" w14:textId="77777777" w:rsidR="008C32B7" w:rsidRDefault="00EF6954">
      <w:pPr>
        <w:pStyle w:val="Heading1"/>
      </w:pPr>
      <w:r>
        <w:t>NOMINATION DES JUGES À LA COUR PROVINCIALE</w:t>
      </w:r>
    </w:p>
    <w:p w14:paraId="742D3F81" w14:textId="77777777" w:rsidR="008C32B7" w:rsidRDefault="00EF6954" w:rsidP="00030624">
      <w:pPr>
        <w:pStyle w:val="Heading2"/>
        <w:numPr>
          <w:ilvl w:val="0"/>
          <w:numId w:val="4"/>
        </w:numPr>
        <w:spacing w:before="180"/>
        <w:ind w:left="851" w:hanging="751"/>
      </w:pPr>
      <w:r>
        <w:t>Dossier de candidature</w:t>
      </w:r>
    </w:p>
    <w:p w14:paraId="06EA1CA5" w14:textId="77777777" w:rsidR="008C32B7" w:rsidRDefault="00EF6954" w:rsidP="00030624">
      <w:pPr>
        <w:pStyle w:val="BodyText"/>
        <w:spacing w:before="180" w:line="259" w:lineRule="auto"/>
        <w:ind w:left="100" w:right="115" w:firstLine="751"/>
        <w:jc w:val="both"/>
      </w:pPr>
      <w:r>
        <w:t>Les personnes souhaitant se porter candidates au poste de juge à la Cour provinciale du Manitoba doivent présenter leur dossier de candidature original et huit copies (soit un total de neuf exemplaires) devant inclure :</w:t>
      </w:r>
    </w:p>
    <w:p w14:paraId="5E59A541" w14:textId="77777777" w:rsidR="008C32B7" w:rsidRDefault="00EF6954" w:rsidP="00545FFC">
      <w:pPr>
        <w:pStyle w:val="ListParagraph"/>
        <w:numPr>
          <w:ilvl w:val="1"/>
          <w:numId w:val="4"/>
        </w:numPr>
        <w:spacing w:before="163"/>
        <w:ind w:left="851" w:hanging="425"/>
        <w:jc w:val="both"/>
        <w:rPr>
          <w:sz w:val="24"/>
        </w:rPr>
      </w:pPr>
      <w:r>
        <w:rPr>
          <w:sz w:val="24"/>
        </w:rPr>
        <w:t xml:space="preserve">la </w:t>
      </w:r>
      <w:r>
        <w:rPr>
          <w:i/>
          <w:iCs/>
          <w:sz w:val="24"/>
        </w:rPr>
        <w:t>Formule de renseignements des candidats à la magistrature</w:t>
      </w:r>
      <w:r>
        <w:rPr>
          <w:sz w:val="24"/>
        </w:rPr>
        <w:t>;</w:t>
      </w:r>
    </w:p>
    <w:p w14:paraId="30259B1C" w14:textId="77777777" w:rsidR="008C32B7" w:rsidRDefault="00EF6954" w:rsidP="00545FFC">
      <w:pPr>
        <w:pStyle w:val="ListParagraph"/>
        <w:numPr>
          <w:ilvl w:val="1"/>
          <w:numId w:val="4"/>
        </w:numPr>
        <w:spacing w:before="20"/>
        <w:ind w:left="851" w:hanging="425"/>
        <w:jc w:val="both"/>
        <w:rPr>
          <w:sz w:val="24"/>
        </w:rPr>
      </w:pPr>
      <w:r>
        <w:rPr>
          <w:sz w:val="24"/>
        </w:rPr>
        <w:t>un curriculum vitæ;</w:t>
      </w:r>
    </w:p>
    <w:p w14:paraId="2DBC5B9D" w14:textId="095C652E" w:rsidR="008C32B7" w:rsidRDefault="00EF6954" w:rsidP="00545FFC">
      <w:pPr>
        <w:pStyle w:val="ListParagraph"/>
        <w:numPr>
          <w:ilvl w:val="1"/>
          <w:numId w:val="4"/>
        </w:numPr>
        <w:spacing w:before="21"/>
        <w:ind w:left="851" w:hanging="425"/>
        <w:jc w:val="both"/>
        <w:rPr>
          <w:sz w:val="24"/>
        </w:rPr>
      </w:pPr>
      <w:r>
        <w:rPr>
          <w:sz w:val="24"/>
        </w:rPr>
        <w:t>une lettre d</w:t>
      </w:r>
      <w:r w:rsidR="00030624">
        <w:rPr>
          <w:sz w:val="24"/>
        </w:rPr>
        <w:t>’</w:t>
      </w:r>
      <w:r>
        <w:rPr>
          <w:sz w:val="24"/>
        </w:rPr>
        <w:t>accompagnement;</w:t>
      </w:r>
    </w:p>
    <w:p w14:paraId="1210850B" w14:textId="77777777" w:rsidR="006315E1" w:rsidRDefault="00EF6954" w:rsidP="00545FFC">
      <w:pPr>
        <w:pStyle w:val="ListParagraph"/>
        <w:numPr>
          <w:ilvl w:val="1"/>
          <w:numId w:val="4"/>
        </w:numPr>
        <w:spacing w:before="20"/>
        <w:ind w:left="851" w:hanging="425"/>
        <w:jc w:val="both"/>
        <w:rPr>
          <w:spacing w:val="-2"/>
          <w:sz w:val="24"/>
        </w:rPr>
      </w:pPr>
      <w:r>
        <w:rPr>
          <w:sz w:val="24"/>
        </w:rPr>
        <w:t xml:space="preserve">le </w:t>
      </w:r>
      <w:r>
        <w:rPr>
          <w:i/>
          <w:iCs/>
          <w:sz w:val="24"/>
        </w:rPr>
        <w:t>Consentement à la divulgation et à la vérification aux fins des enquêtes de filtrage</w:t>
      </w:r>
      <w:r>
        <w:rPr>
          <w:sz w:val="24"/>
        </w:rPr>
        <w:t>;</w:t>
      </w:r>
    </w:p>
    <w:p w14:paraId="3659885B" w14:textId="444ECE93" w:rsidR="008C32B7" w:rsidRDefault="00EF6954" w:rsidP="00545FFC">
      <w:pPr>
        <w:pStyle w:val="ListParagraph"/>
        <w:numPr>
          <w:ilvl w:val="1"/>
          <w:numId w:val="4"/>
        </w:numPr>
        <w:spacing w:before="18" w:line="256" w:lineRule="auto"/>
        <w:ind w:left="851" w:right="116" w:hanging="425"/>
        <w:jc w:val="both"/>
        <w:rPr>
          <w:sz w:val="24"/>
        </w:rPr>
      </w:pPr>
      <w:r>
        <w:rPr>
          <w:sz w:val="24"/>
        </w:rPr>
        <w:t>l</w:t>
      </w:r>
      <w:r w:rsidR="00030624">
        <w:rPr>
          <w:sz w:val="24"/>
        </w:rPr>
        <w:t>’</w:t>
      </w:r>
      <w:r>
        <w:rPr>
          <w:i/>
          <w:iCs/>
          <w:sz w:val="24"/>
        </w:rPr>
        <w:t>Autorisation de communiquer des renseignements au sujet du candidat</w:t>
      </w:r>
      <w:r>
        <w:rPr>
          <w:sz w:val="24"/>
        </w:rPr>
        <w:t xml:space="preserve"> de la Société du Barreau du Manitoba;</w:t>
      </w:r>
    </w:p>
    <w:p w14:paraId="23D0DC48" w14:textId="77777777" w:rsidR="008C32B7" w:rsidRDefault="00EF6954" w:rsidP="00545FFC">
      <w:pPr>
        <w:pStyle w:val="ListParagraph"/>
        <w:numPr>
          <w:ilvl w:val="1"/>
          <w:numId w:val="4"/>
        </w:numPr>
        <w:spacing w:before="2"/>
        <w:ind w:left="851" w:hanging="425"/>
        <w:jc w:val="both"/>
        <w:rPr>
          <w:sz w:val="24"/>
        </w:rPr>
      </w:pPr>
      <w:r>
        <w:rPr>
          <w:sz w:val="24"/>
        </w:rPr>
        <w:t xml:space="preserve">la formule </w:t>
      </w:r>
      <w:r>
        <w:rPr>
          <w:i/>
          <w:iCs/>
          <w:sz w:val="24"/>
        </w:rPr>
        <w:t>Engagement ou confirmation</w:t>
      </w:r>
      <w:r>
        <w:rPr>
          <w:sz w:val="24"/>
        </w:rPr>
        <w:t>;</w:t>
      </w:r>
    </w:p>
    <w:p w14:paraId="1E9F8C1A" w14:textId="48119535" w:rsidR="008C32B7" w:rsidRDefault="00EF6954" w:rsidP="00545FFC">
      <w:pPr>
        <w:pStyle w:val="ListParagraph"/>
        <w:numPr>
          <w:ilvl w:val="1"/>
          <w:numId w:val="4"/>
        </w:numPr>
        <w:spacing w:before="20"/>
        <w:ind w:left="851" w:hanging="425"/>
        <w:jc w:val="both"/>
        <w:rPr>
          <w:sz w:val="24"/>
        </w:rPr>
      </w:pPr>
      <w:r>
        <w:rPr>
          <w:sz w:val="24"/>
        </w:rPr>
        <w:t>un bref résumé de leurs antécédents et quali</w:t>
      </w:r>
      <w:r w:rsidR="00030624">
        <w:rPr>
          <w:sz w:val="24"/>
        </w:rPr>
        <w:t>tés</w:t>
      </w:r>
      <w:r w:rsidR="00BE22D0">
        <w:rPr>
          <w:sz w:val="24"/>
        </w:rPr>
        <w:t xml:space="preserve"> (maximum</w:t>
      </w:r>
      <w:r>
        <w:rPr>
          <w:sz w:val="24"/>
        </w:rPr>
        <w:t xml:space="preserve"> 30 mots</w:t>
      </w:r>
      <w:r w:rsidR="00BE22D0">
        <w:rPr>
          <w:sz w:val="24"/>
        </w:rPr>
        <w:t>)</w:t>
      </w:r>
      <w:r>
        <w:rPr>
          <w:sz w:val="24"/>
        </w:rPr>
        <w:t>.</w:t>
      </w:r>
    </w:p>
    <w:p w14:paraId="69CE8208" w14:textId="77777777" w:rsidR="008C32B7" w:rsidRDefault="008C32B7">
      <w:pPr>
        <w:pStyle w:val="BodyText"/>
        <w:spacing w:before="42"/>
        <w:ind w:left="0" w:firstLine="0"/>
      </w:pPr>
    </w:p>
    <w:p w14:paraId="325F5CC6" w14:textId="77777777" w:rsidR="008C32B7" w:rsidRDefault="00EF6954">
      <w:pPr>
        <w:pStyle w:val="Heading2"/>
        <w:numPr>
          <w:ilvl w:val="0"/>
          <w:numId w:val="4"/>
        </w:numPr>
        <w:tabs>
          <w:tab w:val="left" w:pos="820"/>
        </w:tabs>
        <w:spacing w:before="0"/>
      </w:pPr>
      <w:r>
        <w:t>Transmission du dossier de candidature</w:t>
      </w:r>
    </w:p>
    <w:p w14:paraId="0F76F90A" w14:textId="32DA16DC" w:rsidR="008C32B7" w:rsidRDefault="00BE22D0" w:rsidP="00030624">
      <w:pPr>
        <w:pStyle w:val="BodyText"/>
        <w:spacing w:line="259" w:lineRule="auto"/>
        <w:ind w:left="100" w:right="117" w:firstLine="751"/>
        <w:jc w:val="both"/>
      </w:pPr>
      <w:r w:rsidRPr="00BE22D0">
        <w:t>Le dossier de candidature peut être envoyé aux fins d’examen à n’importe quel moment, ou en réponse à un appel à candidatures lié à un poste de juge particulier.</w:t>
      </w:r>
      <w:r w:rsidR="00EF6954">
        <w:t xml:space="preserve"> Ce dossier doit être soumis à l</w:t>
      </w:r>
      <w:r w:rsidR="00030624">
        <w:t>’</w:t>
      </w:r>
      <w:r w:rsidR="00EF6954">
        <w:t>adresse suivante :</w:t>
      </w:r>
    </w:p>
    <w:p w14:paraId="623CB7B1" w14:textId="44826393" w:rsidR="008C32B7" w:rsidRDefault="00EF6954" w:rsidP="001462B0">
      <w:pPr>
        <w:pStyle w:val="BodyText"/>
        <w:spacing w:before="159" w:line="254" w:lineRule="auto"/>
        <w:ind w:left="851" w:right="3041" w:firstLine="0"/>
      </w:pPr>
      <w:r>
        <w:t>Administrateur du Comité des nominations des juges</w:t>
      </w:r>
      <w:r>
        <w:br/>
        <w:t>408, avenue York, 2</w:t>
      </w:r>
      <w:r>
        <w:rPr>
          <w:vertAlign w:val="superscript"/>
        </w:rPr>
        <w:t>e</w:t>
      </w:r>
      <w:r>
        <w:t> étage</w:t>
      </w:r>
    </w:p>
    <w:p w14:paraId="4E5FF0F2" w14:textId="77777777" w:rsidR="008C32B7" w:rsidRDefault="00EF6954" w:rsidP="001462B0">
      <w:pPr>
        <w:pStyle w:val="BodyText"/>
        <w:spacing w:before="5"/>
        <w:ind w:left="851" w:firstLine="0"/>
      </w:pPr>
      <w:r>
        <w:t>Winnipeg (Manitoba)  R3C 0P9</w:t>
      </w:r>
    </w:p>
    <w:p w14:paraId="51AB401E" w14:textId="77777777" w:rsidR="008C32B7" w:rsidRDefault="008C32B7">
      <w:pPr>
        <w:pStyle w:val="BodyText"/>
        <w:spacing w:before="43"/>
        <w:ind w:left="0" w:firstLine="0"/>
      </w:pPr>
    </w:p>
    <w:p w14:paraId="31C78E53" w14:textId="45AA7BC4" w:rsidR="008C32B7" w:rsidRDefault="00EF6954" w:rsidP="00030624">
      <w:pPr>
        <w:pStyle w:val="BodyText"/>
        <w:spacing w:before="0" w:line="259" w:lineRule="auto"/>
        <w:ind w:left="100" w:right="121" w:firstLine="751"/>
        <w:jc w:val="both"/>
      </w:pPr>
      <w:r>
        <w:t>Le dossier de candidature complet doit être transmis en version papier conformément au point 1 ci-dessus. Il doit également être numérisé et envoyé par courriel à l</w:t>
      </w:r>
      <w:r w:rsidR="00030624">
        <w:t>’</w:t>
      </w:r>
      <w:r>
        <w:t>administrateur du Comité des nominations des juges à l</w:t>
      </w:r>
      <w:r w:rsidR="00030624">
        <w:t>’</w:t>
      </w:r>
      <w:r>
        <w:t xml:space="preserve">adresse électronique suivante : </w:t>
      </w:r>
      <w:hyperlink r:id="rId7">
        <w:r>
          <w:rPr>
            <w:color w:val="0462C1"/>
            <w:u w:val="single" w:color="0462C1"/>
          </w:rPr>
          <w:t>judicialapplication@gov.mb.ca</w:t>
        </w:r>
      </w:hyperlink>
      <w:r>
        <w:t>.</w:t>
      </w:r>
    </w:p>
    <w:p w14:paraId="10D35F5B" w14:textId="77777777" w:rsidR="008C32B7" w:rsidRPr="00BE22D0" w:rsidRDefault="008C32B7">
      <w:pPr>
        <w:spacing w:line="259" w:lineRule="auto"/>
        <w:jc w:val="both"/>
        <w:rPr>
          <w:sz w:val="24"/>
          <w:szCs w:val="24"/>
        </w:rPr>
      </w:pPr>
    </w:p>
    <w:p w14:paraId="4D4FC922" w14:textId="5AD37E99" w:rsidR="00EF6954" w:rsidRPr="00BE22D0" w:rsidRDefault="00EF6954" w:rsidP="00BE22D0">
      <w:pPr>
        <w:spacing w:line="259" w:lineRule="auto"/>
        <w:ind w:firstLine="851"/>
        <w:jc w:val="both"/>
        <w:rPr>
          <w:sz w:val="24"/>
          <w:szCs w:val="24"/>
        </w:rPr>
      </w:pPr>
      <w:r w:rsidRPr="00BE22D0">
        <w:rPr>
          <w:sz w:val="24"/>
          <w:szCs w:val="24"/>
        </w:rPr>
        <w:t>Le dossier de candidature sera conservé par le Comité des nominations des juges (le « Comité ») pendant une période d</w:t>
      </w:r>
      <w:r w:rsidR="00030624" w:rsidRPr="00BE22D0">
        <w:rPr>
          <w:sz w:val="24"/>
          <w:szCs w:val="24"/>
        </w:rPr>
        <w:t>’</w:t>
      </w:r>
      <w:r w:rsidRPr="00BE22D0">
        <w:rPr>
          <w:b/>
          <w:bCs/>
          <w:sz w:val="24"/>
          <w:szCs w:val="24"/>
        </w:rPr>
        <w:t>une année civile</w:t>
      </w:r>
      <w:r w:rsidRPr="00BE22D0">
        <w:rPr>
          <w:sz w:val="24"/>
          <w:szCs w:val="24"/>
        </w:rPr>
        <w:t xml:space="preserve"> à compter de la date d</w:t>
      </w:r>
      <w:r w:rsidR="00030624" w:rsidRPr="00BE22D0">
        <w:rPr>
          <w:sz w:val="24"/>
          <w:szCs w:val="24"/>
        </w:rPr>
        <w:t>’</w:t>
      </w:r>
      <w:r w:rsidRPr="00BE22D0">
        <w:rPr>
          <w:sz w:val="24"/>
          <w:szCs w:val="24"/>
        </w:rPr>
        <w:t>évaluation de la candidature. Les candidats qui ne souhaitent plus être pris en compte pour une nomination en tant que juge pendant cette période peuvent aviser le Comité par écrit du retrait de leur candidature.</w:t>
      </w:r>
    </w:p>
    <w:p w14:paraId="0D168378" w14:textId="77777777" w:rsidR="00EF6954" w:rsidRPr="00030624" w:rsidRDefault="00EF6954">
      <w:pPr>
        <w:spacing w:line="259" w:lineRule="auto"/>
        <w:jc w:val="both"/>
        <w:sectPr w:rsidR="00EF6954" w:rsidRPr="00030624" w:rsidSect="00030624">
          <w:footerReference w:type="default" r:id="rId8"/>
          <w:type w:val="continuous"/>
          <w:pgSz w:w="12240" w:h="15840"/>
          <w:pgMar w:top="993" w:right="1320" w:bottom="980" w:left="1340" w:header="0" w:footer="782" w:gutter="0"/>
          <w:pgNumType w:start="1"/>
          <w:cols w:space="720"/>
        </w:sectPr>
      </w:pPr>
    </w:p>
    <w:p w14:paraId="33BE531C" w14:textId="77777777" w:rsidR="008C32B7" w:rsidRDefault="00EF6954">
      <w:pPr>
        <w:pStyle w:val="Heading2"/>
        <w:numPr>
          <w:ilvl w:val="0"/>
          <w:numId w:val="4"/>
        </w:numPr>
        <w:tabs>
          <w:tab w:val="left" w:pos="820"/>
        </w:tabs>
      </w:pPr>
      <w:r>
        <w:lastRenderedPageBreak/>
        <w:t>Entrevue et évaluation</w:t>
      </w:r>
    </w:p>
    <w:p w14:paraId="27871BB6" w14:textId="4A1623A9" w:rsidR="008C32B7" w:rsidRDefault="00EF6954" w:rsidP="00030624">
      <w:pPr>
        <w:pStyle w:val="BodyText"/>
        <w:spacing w:line="259" w:lineRule="auto"/>
        <w:ind w:left="100" w:right="117" w:firstLine="751"/>
        <w:jc w:val="both"/>
      </w:pPr>
      <w:r>
        <w:t>Le Comité procédera à toutes les vérifications nécessaires concernant un candidat afin de l</w:t>
      </w:r>
      <w:r w:rsidR="00030624">
        <w:t>’</w:t>
      </w:r>
      <w:r>
        <w:t>évaluer et de déterminer s</w:t>
      </w:r>
      <w:r w:rsidR="00030624">
        <w:t>’</w:t>
      </w:r>
      <w:r>
        <w:t xml:space="preserve">il dispose des qualités requises pour exercer les fonctions de juge. </w:t>
      </w:r>
      <w:r w:rsidR="007B4CFE" w:rsidRPr="007B4CFE">
        <w:t>Ces vérifications pourront nécessiter de se renseigner auprès des personnes désignées comme des références par le candidat</w:t>
      </w:r>
      <w:r w:rsidR="007B4CFE">
        <w:t>,</w:t>
      </w:r>
      <w:r w:rsidR="007B4CFE" w:rsidRPr="007B4CFE">
        <w:t xml:space="preserve"> et auprès de juges, de fonctionnaires de justice, d’avocats, d’associations juridiques, d’établissements financiers ainsi que d’organismes communautaires et de services sociaux.</w:t>
      </w:r>
    </w:p>
    <w:p w14:paraId="053ED3FC" w14:textId="128FF05B" w:rsidR="008C32B7" w:rsidRDefault="00EF6954" w:rsidP="00030624">
      <w:pPr>
        <w:pStyle w:val="BodyText"/>
        <w:spacing w:before="158" w:line="259" w:lineRule="auto"/>
        <w:ind w:left="100" w:right="120" w:firstLine="751"/>
        <w:jc w:val="both"/>
      </w:pPr>
      <w:r>
        <w:t>Si un candidat a fait l</w:t>
      </w:r>
      <w:r w:rsidR="00030624">
        <w:t>’</w:t>
      </w:r>
      <w:r>
        <w:t>objet d</w:t>
      </w:r>
      <w:r w:rsidR="00030624">
        <w:t>’</w:t>
      </w:r>
      <w:r>
        <w:t>une entrevue au cours des 12 derniers mois, le Comité peut décider de ne pas le soumettre à une nouvelle entrevue.</w:t>
      </w:r>
    </w:p>
    <w:p w14:paraId="56572D3B" w14:textId="6323928F" w:rsidR="008C32B7" w:rsidRDefault="00EF6954" w:rsidP="00030624">
      <w:pPr>
        <w:pStyle w:val="BodyText"/>
        <w:spacing w:before="160" w:line="259" w:lineRule="auto"/>
        <w:ind w:left="100" w:right="118" w:firstLine="751"/>
        <w:jc w:val="both"/>
      </w:pPr>
      <w:r>
        <w:t>Lorsqu</w:t>
      </w:r>
      <w:r w:rsidR="00030624">
        <w:t>’</w:t>
      </w:r>
      <w:r>
        <w:t>aucun poste ne devient vacant au cours d</w:t>
      </w:r>
      <w:r w:rsidR="00030624">
        <w:t>’</w:t>
      </w:r>
      <w:r>
        <w:t>une période de 12 mois, le Comité se réunit pour examiner les candidatures reçues depuis la dernière vacance d</w:t>
      </w:r>
      <w:r w:rsidR="00030624">
        <w:t>’</w:t>
      </w:r>
      <w:r>
        <w:t>un poste de juge.</w:t>
      </w:r>
    </w:p>
    <w:p w14:paraId="696F2399" w14:textId="64DA5AD5" w:rsidR="008C32B7" w:rsidRDefault="00EF6954" w:rsidP="00030624">
      <w:pPr>
        <w:pStyle w:val="BodyText"/>
        <w:spacing w:before="161" w:line="259" w:lineRule="auto"/>
        <w:ind w:left="100" w:right="115" w:firstLine="751"/>
        <w:jc w:val="both"/>
      </w:pPr>
      <w:r>
        <w:t>En cas de vacance d</w:t>
      </w:r>
      <w:r w:rsidR="00030624">
        <w:t>’</w:t>
      </w:r>
      <w:r>
        <w:t>un poste de juge particulier, un appel à candidatures assorti d</w:t>
      </w:r>
      <w:r w:rsidR="00030624">
        <w:t>’</w:t>
      </w:r>
      <w:r>
        <w:t>une date limite de dépôt des dossiers peut être lancé. Le Comité examinera également les candidatures qui n</w:t>
      </w:r>
      <w:r w:rsidR="00030624">
        <w:t>’</w:t>
      </w:r>
      <w:r>
        <w:t>ont pas encore été examinées et qui ont été reçues entre deux vacances d</w:t>
      </w:r>
      <w:r w:rsidR="00030624">
        <w:t>’</w:t>
      </w:r>
      <w:r>
        <w:t>un poste de juge.</w:t>
      </w:r>
    </w:p>
    <w:p w14:paraId="67B58563" w14:textId="77777777" w:rsidR="008C32B7" w:rsidRDefault="00EF6954">
      <w:pPr>
        <w:pStyle w:val="Heading2"/>
        <w:numPr>
          <w:ilvl w:val="0"/>
          <w:numId w:val="4"/>
        </w:numPr>
        <w:tabs>
          <w:tab w:val="left" w:pos="820"/>
        </w:tabs>
        <w:spacing w:before="159"/>
      </w:pPr>
      <w:r>
        <w:t>Liste des personnes qualifiées pour la nomination</w:t>
      </w:r>
    </w:p>
    <w:p w14:paraId="39CB1AE1" w14:textId="3AD9AB4A" w:rsidR="008C32B7" w:rsidRDefault="00EF6954" w:rsidP="00030624">
      <w:pPr>
        <w:pStyle w:val="BodyText"/>
        <w:spacing w:before="180" w:line="259" w:lineRule="auto"/>
        <w:ind w:left="100" w:right="115" w:firstLine="751"/>
        <w:jc w:val="both"/>
      </w:pPr>
      <w:r>
        <w:t>Si le Comité détermine qu</w:t>
      </w:r>
      <w:r w:rsidR="00030624">
        <w:t>’</w:t>
      </w:r>
      <w:r>
        <w:t>un candidat dispose des qualités professionnelles et personnelles requises pour exercer les fonctions de juge, cette personne sera inscrite sur une liste de candidats qualifiés en vue d</w:t>
      </w:r>
      <w:r w:rsidR="00030624">
        <w:t>’</w:t>
      </w:r>
      <w:r>
        <w:t>une nomination. Elle sera informée de la date de son évaluation par le Comité, mais elle ne saura pas si son nom sera placé sur la liste ou non. La liste des candidats qualifiés reste confidentielle.</w:t>
      </w:r>
    </w:p>
    <w:p w14:paraId="3FD30381" w14:textId="7D08A4BB" w:rsidR="008C32B7" w:rsidRDefault="00EF6954">
      <w:pPr>
        <w:pStyle w:val="Heading2"/>
        <w:numPr>
          <w:ilvl w:val="0"/>
          <w:numId w:val="4"/>
        </w:numPr>
        <w:tabs>
          <w:tab w:val="left" w:pos="820"/>
        </w:tabs>
        <w:spacing w:before="161"/>
      </w:pPr>
      <w:r>
        <w:t>Entrevue pour plus d</w:t>
      </w:r>
      <w:r w:rsidR="00030624">
        <w:t>’</w:t>
      </w:r>
      <w:r>
        <w:t>un poste</w:t>
      </w:r>
    </w:p>
    <w:p w14:paraId="1D3A3692" w14:textId="70AAC0C1" w:rsidR="008C32B7" w:rsidRDefault="00EF6954" w:rsidP="00030624">
      <w:pPr>
        <w:pStyle w:val="BodyText"/>
        <w:spacing w:before="180" w:line="259" w:lineRule="auto"/>
        <w:ind w:left="100" w:right="117" w:firstLine="751"/>
        <w:jc w:val="both"/>
      </w:pPr>
      <w:r>
        <w:t>Il arrive que d</w:t>
      </w:r>
      <w:r w:rsidR="00030624">
        <w:t>’</w:t>
      </w:r>
      <w:r>
        <w:t>autres postes deviennent vacants après qu</w:t>
      </w:r>
      <w:r w:rsidR="00030624">
        <w:t>’</w:t>
      </w:r>
      <w:r>
        <w:t xml:space="preserve">un appel à candidatures a été lancé pour un poste vacant et que le processus de sélection est en cours. Dans de tels cas, il pourrait ne pas y avoir de nouvel appel à candidatures. </w:t>
      </w:r>
      <w:r w:rsidR="00814E4F" w:rsidRPr="00814E4F">
        <w:t>Le Comité évaluera les candidatures des personnes ayant répondu pour le poste ayant fait l’objet de l’appel à candidatures initial, ainsi que les candidatures déjà au dossier, mais pas encore évaluées. Il choisira ensuite les personnes dont la candidature sera examinée et qui passeront une entrevue pour tous les postes vacants.</w:t>
      </w:r>
    </w:p>
    <w:p w14:paraId="5D4C362F" w14:textId="77777777" w:rsidR="008C32B7" w:rsidRDefault="00EF6954">
      <w:pPr>
        <w:pStyle w:val="Heading2"/>
        <w:numPr>
          <w:ilvl w:val="0"/>
          <w:numId w:val="4"/>
        </w:numPr>
        <w:tabs>
          <w:tab w:val="left" w:pos="820"/>
        </w:tabs>
        <w:spacing w:before="160"/>
      </w:pPr>
      <w:r>
        <w:t>Liste des personnes recommandées</w:t>
      </w:r>
    </w:p>
    <w:p w14:paraId="4FC79D4A" w14:textId="7B302FBC" w:rsidR="008C32B7" w:rsidRDefault="00EF6954" w:rsidP="00545FFC">
      <w:pPr>
        <w:pStyle w:val="BodyText"/>
        <w:spacing w:before="180" w:line="259" w:lineRule="auto"/>
        <w:ind w:left="100" w:right="117" w:firstLine="751"/>
        <w:jc w:val="both"/>
      </w:pPr>
      <w:r>
        <w:t>Après l</w:t>
      </w:r>
      <w:r w:rsidR="00030624">
        <w:t>’</w:t>
      </w:r>
      <w:r>
        <w:t>évaluation des candidats et l</w:t>
      </w:r>
      <w:r w:rsidR="00030624">
        <w:t>’</w:t>
      </w:r>
      <w:r>
        <w:t>examen de la liste de candidats qualifiés, le Comité fournira au ministre la liste de tous les candidats admissibles et indiquera, entre autres, s</w:t>
      </w:r>
      <w:r w:rsidR="00030624">
        <w:t>’</w:t>
      </w:r>
      <w:r>
        <w:t>il les recommande ou non à des fins de nomination.</w:t>
      </w:r>
    </w:p>
    <w:p w14:paraId="11521207" w14:textId="77777777" w:rsidR="00030624" w:rsidRDefault="00030624" w:rsidP="00545FFC">
      <w:pPr>
        <w:jc w:val="both"/>
        <w:rPr>
          <w:b/>
          <w:bCs/>
          <w:sz w:val="24"/>
          <w:szCs w:val="24"/>
        </w:rPr>
      </w:pPr>
      <w:r>
        <w:br w:type="page"/>
      </w:r>
    </w:p>
    <w:p w14:paraId="37E9EF28" w14:textId="100E57FC" w:rsidR="008C32B7" w:rsidRDefault="00EF6954">
      <w:pPr>
        <w:pStyle w:val="Heading1"/>
        <w:spacing w:before="160"/>
      </w:pPr>
      <w:r>
        <w:t>QUALITÉS REQUISES</w:t>
      </w:r>
    </w:p>
    <w:p w14:paraId="2488B21E" w14:textId="77777777" w:rsidR="008C32B7" w:rsidRDefault="00EF6954">
      <w:pPr>
        <w:pStyle w:val="Heading2"/>
        <w:numPr>
          <w:ilvl w:val="0"/>
          <w:numId w:val="3"/>
        </w:numPr>
        <w:tabs>
          <w:tab w:val="left" w:pos="820"/>
        </w:tabs>
        <w:spacing w:before="182"/>
      </w:pPr>
      <w:r>
        <w:t>Qualités minimales requises en vertu de la loi</w:t>
      </w:r>
    </w:p>
    <w:p w14:paraId="2B25E18C" w14:textId="77777777" w:rsidR="008C32B7" w:rsidRDefault="00EF6954" w:rsidP="00545FFC">
      <w:pPr>
        <w:pStyle w:val="BodyText"/>
        <w:ind w:left="851" w:firstLine="0"/>
        <w:jc w:val="both"/>
      </w:pPr>
      <w:r>
        <w:t>Seules les personnes qui remplissent les conditions suivantes peuvent être nommées juges :</w:t>
      </w:r>
    </w:p>
    <w:p w14:paraId="674A779F" w14:textId="77777777" w:rsidR="008C32B7" w:rsidRDefault="00EF6954" w:rsidP="00545FFC">
      <w:pPr>
        <w:pStyle w:val="ListParagraph"/>
        <w:numPr>
          <w:ilvl w:val="1"/>
          <w:numId w:val="3"/>
        </w:numPr>
        <w:tabs>
          <w:tab w:val="left" w:pos="1180"/>
        </w:tabs>
        <w:spacing w:before="180"/>
        <w:ind w:hanging="329"/>
        <w:jc w:val="both"/>
        <w:rPr>
          <w:sz w:val="24"/>
        </w:rPr>
      </w:pPr>
      <w:r>
        <w:rPr>
          <w:sz w:val="24"/>
        </w:rPr>
        <w:t>être membre en règle de la Société du Barreau du Manitoba;</w:t>
      </w:r>
    </w:p>
    <w:p w14:paraId="48C72777" w14:textId="72A91D4C" w:rsidR="008C32B7" w:rsidRPr="00030624" w:rsidRDefault="00EF6954" w:rsidP="00545FFC">
      <w:pPr>
        <w:pStyle w:val="ListParagraph"/>
        <w:numPr>
          <w:ilvl w:val="1"/>
          <w:numId w:val="3"/>
        </w:numPr>
        <w:tabs>
          <w:tab w:val="left" w:pos="1180"/>
        </w:tabs>
        <w:spacing w:before="180"/>
        <w:ind w:hanging="329"/>
        <w:jc w:val="both"/>
        <w:rPr>
          <w:sz w:val="24"/>
        </w:rPr>
      </w:pPr>
      <w:r w:rsidRPr="00030624">
        <w:rPr>
          <w:sz w:val="24"/>
        </w:rPr>
        <w:t>avoir le droit de pratiquer le droit à titre d</w:t>
      </w:r>
      <w:r w:rsidR="00030624">
        <w:rPr>
          <w:sz w:val="24"/>
        </w:rPr>
        <w:t>’</w:t>
      </w:r>
      <w:r w:rsidRPr="00030624">
        <w:rPr>
          <w:sz w:val="24"/>
        </w:rPr>
        <w:t>avocat au Manitoba;</w:t>
      </w:r>
    </w:p>
    <w:p w14:paraId="1B41E589" w14:textId="117B6366" w:rsidR="008C32B7" w:rsidRDefault="00EF6954" w:rsidP="00545FFC">
      <w:pPr>
        <w:pStyle w:val="ListParagraph"/>
        <w:numPr>
          <w:ilvl w:val="1"/>
          <w:numId w:val="3"/>
        </w:numPr>
        <w:tabs>
          <w:tab w:val="left" w:pos="1180"/>
        </w:tabs>
        <w:spacing w:before="182" w:line="256" w:lineRule="auto"/>
        <w:ind w:right="120" w:hanging="329"/>
        <w:jc w:val="both"/>
        <w:rPr>
          <w:sz w:val="24"/>
        </w:rPr>
      </w:pPr>
      <w:r>
        <w:rPr>
          <w:sz w:val="24"/>
        </w:rPr>
        <w:t>avoir pratiqué le droit à titre d</w:t>
      </w:r>
      <w:r w:rsidR="00030624">
        <w:rPr>
          <w:sz w:val="24"/>
        </w:rPr>
        <w:t>’</w:t>
      </w:r>
      <w:r>
        <w:rPr>
          <w:sz w:val="24"/>
        </w:rPr>
        <w:t>avocat au Manitoba pendant au moins cinq ans ou avoir une autre expérience équivalente;</w:t>
      </w:r>
    </w:p>
    <w:p w14:paraId="4A0F826C" w14:textId="2EC80754" w:rsidR="008C32B7" w:rsidRDefault="00EF6954" w:rsidP="00545FFC">
      <w:pPr>
        <w:pStyle w:val="ListParagraph"/>
        <w:numPr>
          <w:ilvl w:val="1"/>
          <w:numId w:val="3"/>
        </w:numPr>
        <w:tabs>
          <w:tab w:val="left" w:pos="1180"/>
        </w:tabs>
        <w:spacing w:before="160" w:line="256" w:lineRule="auto"/>
        <w:ind w:right="114" w:hanging="329"/>
        <w:jc w:val="both"/>
        <w:rPr>
          <w:sz w:val="24"/>
        </w:rPr>
      </w:pPr>
      <w:r>
        <w:rPr>
          <w:sz w:val="24"/>
        </w:rPr>
        <w:t>fournir un engagement ou une confirmation comme prévu au paragraphe 3(2.1) de la Loi sur la Cour provinciale, c. C275 de la CPLM.</w:t>
      </w:r>
    </w:p>
    <w:p w14:paraId="500B5847" w14:textId="77777777" w:rsidR="008C32B7" w:rsidRDefault="00EF6954">
      <w:pPr>
        <w:pStyle w:val="Heading2"/>
        <w:numPr>
          <w:ilvl w:val="0"/>
          <w:numId w:val="3"/>
        </w:numPr>
        <w:tabs>
          <w:tab w:val="left" w:pos="820"/>
        </w:tabs>
        <w:spacing w:before="165"/>
      </w:pPr>
      <w:r>
        <w:t>Qualités personnelles</w:t>
      </w:r>
    </w:p>
    <w:p w14:paraId="5E467CF9" w14:textId="726AD32C" w:rsidR="008C32B7" w:rsidRDefault="00EF6954" w:rsidP="00545FFC">
      <w:pPr>
        <w:pStyle w:val="ListParagraph"/>
        <w:numPr>
          <w:ilvl w:val="1"/>
          <w:numId w:val="3"/>
        </w:numPr>
        <w:tabs>
          <w:tab w:val="left" w:pos="1180"/>
        </w:tabs>
        <w:spacing w:before="178"/>
        <w:ind w:hanging="329"/>
        <w:jc w:val="both"/>
        <w:rPr>
          <w:sz w:val="24"/>
        </w:rPr>
      </w:pPr>
      <w:r>
        <w:rPr>
          <w:sz w:val="24"/>
        </w:rPr>
        <w:t>Avoir une réputation d</w:t>
      </w:r>
      <w:r w:rsidR="00030624">
        <w:rPr>
          <w:sz w:val="24"/>
        </w:rPr>
        <w:t>’</w:t>
      </w:r>
      <w:r>
        <w:rPr>
          <w:sz w:val="24"/>
        </w:rPr>
        <w:t>intégrité, d</w:t>
      </w:r>
      <w:r w:rsidR="00030624">
        <w:rPr>
          <w:sz w:val="24"/>
        </w:rPr>
        <w:t>’</w:t>
      </w:r>
      <w:r>
        <w:rPr>
          <w:sz w:val="24"/>
        </w:rPr>
        <w:t>impartialité et de respect de la dignité de tous.</w:t>
      </w:r>
    </w:p>
    <w:p w14:paraId="51354CD9" w14:textId="784B441C" w:rsidR="008C32B7" w:rsidRDefault="00EF6954" w:rsidP="00545FFC">
      <w:pPr>
        <w:pStyle w:val="ListParagraph"/>
        <w:numPr>
          <w:ilvl w:val="1"/>
          <w:numId w:val="3"/>
        </w:numPr>
        <w:tabs>
          <w:tab w:val="left" w:pos="1180"/>
        </w:tabs>
        <w:spacing w:before="181"/>
        <w:ind w:hanging="329"/>
        <w:jc w:val="both"/>
        <w:rPr>
          <w:sz w:val="24"/>
        </w:rPr>
      </w:pPr>
      <w:r>
        <w:rPr>
          <w:sz w:val="24"/>
        </w:rPr>
        <w:t>Faire preuve de patience, de souplesse et d</w:t>
      </w:r>
      <w:r w:rsidR="00030624">
        <w:rPr>
          <w:sz w:val="24"/>
        </w:rPr>
        <w:t>’</w:t>
      </w:r>
      <w:r>
        <w:rPr>
          <w:sz w:val="24"/>
        </w:rPr>
        <w:t>ouverture d</w:t>
      </w:r>
      <w:r w:rsidR="00030624">
        <w:rPr>
          <w:sz w:val="24"/>
        </w:rPr>
        <w:t>’</w:t>
      </w:r>
      <w:r>
        <w:rPr>
          <w:sz w:val="24"/>
        </w:rPr>
        <w:t>esprit.</w:t>
      </w:r>
    </w:p>
    <w:p w14:paraId="04D20C5C" w14:textId="3E82DDA7" w:rsidR="008C32B7" w:rsidRDefault="00EF6954" w:rsidP="00545FFC">
      <w:pPr>
        <w:pStyle w:val="ListParagraph"/>
        <w:numPr>
          <w:ilvl w:val="1"/>
          <w:numId w:val="3"/>
        </w:numPr>
        <w:tabs>
          <w:tab w:val="left" w:pos="1180"/>
        </w:tabs>
        <w:spacing w:before="181" w:line="256" w:lineRule="auto"/>
        <w:ind w:right="111" w:hanging="329"/>
        <w:jc w:val="both"/>
        <w:rPr>
          <w:sz w:val="24"/>
        </w:rPr>
      </w:pPr>
      <w:r>
        <w:rPr>
          <w:sz w:val="24"/>
        </w:rPr>
        <w:t>Être en mesure de se déplacer dans les collectivités éloignées de toute la province pour siéger dans le cadre d</w:t>
      </w:r>
      <w:r w:rsidR="00030624">
        <w:rPr>
          <w:sz w:val="24"/>
        </w:rPr>
        <w:t>’</w:t>
      </w:r>
      <w:r>
        <w:rPr>
          <w:sz w:val="24"/>
        </w:rPr>
        <w:t>audiences pouvant durer plusieurs jours.</w:t>
      </w:r>
    </w:p>
    <w:p w14:paraId="0930CBA4" w14:textId="77777777" w:rsidR="008C32B7" w:rsidRDefault="00EF6954" w:rsidP="00545FFC">
      <w:pPr>
        <w:pStyle w:val="ListParagraph"/>
        <w:numPr>
          <w:ilvl w:val="1"/>
          <w:numId w:val="3"/>
        </w:numPr>
        <w:tabs>
          <w:tab w:val="left" w:pos="1180"/>
        </w:tabs>
        <w:spacing w:before="161"/>
        <w:ind w:hanging="329"/>
        <w:jc w:val="both"/>
        <w:rPr>
          <w:sz w:val="24"/>
        </w:rPr>
      </w:pPr>
      <w:r>
        <w:rPr>
          <w:sz w:val="24"/>
        </w:rPr>
        <w:t>Être capable de prendre des décisions rapidement ou dans des délais raisonnables.</w:t>
      </w:r>
    </w:p>
    <w:p w14:paraId="3000F81E" w14:textId="7683DAA6" w:rsidR="008C32B7" w:rsidRDefault="00EF6954" w:rsidP="00545FFC">
      <w:pPr>
        <w:pStyle w:val="ListParagraph"/>
        <w:numPr>
          <w:ilvl w:val="1"/>
          <w:numId w:val="3"/>
        </w:numPr>
        <w:tabs>
          <w:tab w:val="left" w:pos="1180"/>
        </w:tabs>
        <w:spacing w:before="184" w:line="256" w:lineRule="auto"/>
        <w:ind w:right="122" w:hanging="329"/>
        <w:jc w:val="both"/>
        <w:rPr>
          <w:sz w:val="24"/>
        </w:rPr>
      </w:pPr>
      <w:r>
        <w:rPr>
          <w:sz w:val="24"/>
        </w:rPr>
        <w:t>N</w:t>
      </w:r>
      <w:r w:rsidR="00030624">
        <w:rPr>
          <w:sz w:val="24"/>
        </w:rPr>
        <w:t>’</w:t>
      </w:r>
      <w:r>
        <w:rPr>
          <w:sz w:val="24"/>
        </w:rPr>
        <w:t>être concerné par aucune affaire professionnelle ou personnelle, aucune plainte de nature professionnelle ou financière et aucune action civile, qu</w:t>
      </w:r>
      <w:r w:rsidR="00030624">
        <w:rPr>
          <w:sz w:val="24"/>
        </w:rPr>
        <w:t>’</w:t>
      </w:r>
      <w:r>
        <w:rPr>
          <w:sz w:val="24"/>
        </w:rPr>
        <w:t>elles soient passées, présentes ou en cours, risquant de placer le candidat dans l</w:t>
      </w:r>
      <w:r w:rsidR="00030624">
        <w:rPr>
          <w:sz w:val="24"/>
        </w:rPr>
        <w:t>’</w:t>
      </w:r>
      <w:r>
        <w:rPr>
          <w:sz w:val="24"/>
        </w:rPr>
        <w:t>embarras vis-à-vis du public une fois qu</w:t>
      </w:r>
      <w:r w:rsidR="00030624">
        <w:rPr>
          <w:sz w:val="24"/>
        </w:rPr>
        <w:t>’</w:t>
      </w:r>
      <w:r>
        <w:rPr>
          <w:sz w:val="24"/>
        </w:rPr>
        <w:t>il sera dans la magistrature.</w:t>
      </w:r>
    </w:p>
    <w:p w14:paraId="303B70D0" w14:textId="77777777" w:rsidR="008C32B7" w:rsidRDefault="00EF6954">
      <w:pPr>
        <w:pStyle w:val="Heading2"/>
        <w:numPr>
          <w:ilvl w:val="0"/>
          <w:numId w:val="3"/>
        </w:numPr>
        <w:tabs>
          <w:tab w:val="left" w:pos="820"/>
        </w:tabs>
        <w:spacing w:before="162"/>
      </w:pPr>
      <w:r>
        <w:t>Excellence professionnelle</w:t>
      </w:r>
    </w:p>
    <w:p w14:paraId="7363B433" w14:textId="77777777" w:rsidR="008C32B7" w:rsidRDefault="00EF6954" w:rsidP="00545FFC">
      <w:pPr>
        <w:pStyle w:val="ListParagraph"/>
        <w:numPr>
          <w:ilvl w:val="1"/>
          <w:numId w:val="3"/>
        </w:numPr>
        <w:tabs>
          <w:tab w:val="left" w:pos="1180"/>
        </w:tabs>
        <w:spacing w:line="256" w:lineRule="auto"/>
        <w:ind w:right="114" w:hanging="329"/>
        <w:jc w:val="both"/>
        <w:rPr>
          <w:sz w:val="24"/>
        </w:rPr>
      </w:pPr>
      <w:r>
        <w:rPr>
          <w:sz w:val="24"/>
        </w:rPr>
        <w:t>Avoir atteint un niveau élevé de réalisations professionnelles concernant les domaines juridiques dans lesquels le candidat a travaillé.</w:t>
      </w:r>
    </w:p>
    <w:p w14:paraId="53050428" w14:textId="20C08C64" w:rsidR="008C32B7" w:rsidRDefault="00EF6954" w:rsidP="00545FFC">
      <w:pPr>
        <w:pStyle w:val="ListParagraph"/>
        <w:numPr>
          <w:ilvl w:val="1"/>
          <w:numId w:val="3"/>
        </w:numPr>
        <w:tabs>
          <w:tab w:val="left" w:pos="1180"/>
        </w:tabs>
        <w:spacing w:before="163" w:line="254" w:lineRule="auto"/>
        <w:ind w:right="114" w:hanging="329"/>
        <w:jc w:val="both"/>
        <w:rPr>
          <w:sz w:val="24"/>
        </w:rPr>
      </w:pPr>
      <w:r>
        <w:rPr>
          <w:sz w:val="24"/>
        </w:rPr>
        <w:t>Pratiquer des activités qui permettent de rester au fait des changements en matière de droit et d</w:t>
      </w:r>
      <w:r w:rsidR="00030624">
        <w:rPr>
          <w:sz w:val="24"/>
        </w:rPr>
        <w:t>’</w:t>
      </w:r>
      <w:r>
        <w:rPr>
          <w:sz w:val="24"/>
        </w:rPr>
        <w:t>administration de la justice.</w:t>
      </w:r>
    </w:p>
    <w:p w14:paraId="027D67A6" w14:textId="44011E88" w:rsidR="008C32B7" w:rsidRDefault="00EF6954" w:rsidP="00545FFC">
      <w:pPr>
        <w:pStyle w:val="ListParagraph"/>
        <w:numPr>
          <w:ilvl w:val="1"/>
          <w:numId w:val="3"/>
        </w:numPr>
        <w:tabs>
          <w:tab w:val="left" w:pos="1180"/>
        </w:tabs>
        <w:spacing w:before="164"/>
        <w:ind w:hanging="329"/>
        <w:jc w:val="both"/>
        <w:rPr>
          <w:sz w:val="24"/>
        </w:rPr>
      </w:pPr>
      <w:r>
        <w:rPr>
          <w:sz w:val="24"/>
        </w:rPr>
        <w:t>Faire preuve d</w:t>
      </w:r>
      <w:r w:rsidR="00030624">
        <w:rPr>
          <w:sz w:val="24"/>
        </w:rPr>
        <w:t>’</w:t>
      </w:r>
      <w:r>
        <w:rPr>
          <w:sz w:val="24"/>
        </w:rPr>
        <w:t>engagement à l</w:t>
      </w:r>
      <w:r w:rsidR="00030624">
        <w:rPr>
          <w:sz w:val="24"/>
        </w:rPr>
        <w:t>’</w:t>
      </w:r>
      <w:r>
        <w:rPr>
          <w:sz w:val="24"/>
        </w:rPr>
        <w:t>égard du service public.</w:t>
      </w:r>
    </w:p>
    <w:p w14:paraId="1FFDFB1C" w14:textId="77777777" w:rsidR="008C32B7" w:rsidRDefault="00EF6954" w:rsidP="00545FFC">
      <w:pPr>
        <w:pStyle w:val="ListParagraph"/>
        <w:numPr>
          <w:ilvl w:val="1"/>
          <w:numId w:val="3"/>
        </w:numPr>
        <w:tabs>
          <w:tab w:val="left" w:pos="1180"/>
        </w:tabs>
        <w:spacing w:before="182"/>
        <w:ind w:hanging="329"/>
        <w:jc w:val="both"/>
        <w:rPr>
          <w:sz w:val="24"/>
        </w:rPr>
      </w:pPr>
      <w:r>
        <w:rPr>
          <w:sz w:val="24"/>
        </w:rPr>
        <w:t>Avoir de bonnes compétences en rédaction et en communication.</w:t>
      </w:r>
    </w:p>
    <w:p w14:paraId="6D9736AA" w14:textId="6C828BD0" w:rsidR="008C32B7" w:rsidRDefault="00EF6954" w:rsidP="00545FFC">
      <w:pPr>
        <w:pStyle w:val="ListParagraph"/>
        <w:numPr>
          <w:ilvl w:val="1"/>
          <w:numId w:val="3"/>
        </w:numPr>
        <w:tabs>
          <w:tab w:val="left" w:pos="1180"/>
        </w:tabs>
        <w:spacing w:before="181" w:line="256" w:lineRule="auto"/>
        <w:ind w:right="122" w:hanging="329"/>
        <w:jc w:val="both"/>
        <w:rPr>
          <w:sz w:val="24"/>
        </w:rPr>
      </w:pPr>
      <w:r>
        <w:rPr>
          <w:sz w:val="24"/>
        </w:rPr>
        <w:t>L</w:t>
      </w:r>
      <w:r w:rsidR="00030624">
        <w:rPr>
          <w:sz w:val="24"/>
        </w:rPr>
        <w:t>’</w:t>
      </w:r>
      <w:r>
        <w:rPr>
          <w:sz w:val="24"/>
        </w:rPr>
        <w:t>excellence professionnelle demeure le critère primordial dans l</w:t>
      </w:r>
      <w:r w:rsidR="00030624">
        <w:rPr>
          <w:sz w:val="24"/>
        </w:rPr>
        <w:t>’</w:t>
      </w:r>
      <w:r>
        <w:rPr>
          <w:sz w:val="24"/>
        </w:rPr>
        <w:t>évaluation des candidats à un poste de juge.</w:t>
      </w:r>
    </w:p>
    <w:p w14:paraId="170D2196" w14:textId="77777777" w:rsidR="00030624" w:rsidRDefault="00030624">
      <w:pPr>
        <w:rPr>
          <w:b/>
          <w:bCs/>
          <w:sz w:val="24"/>
          <w:szCs w:val="24"/>
        </w:rPr>
      </w:pPr>
      <w:r>
        <w:br w:type="page"/>
      </w:r>
    </w:p>
    <w:p w14:paraId="5D191244" w14:textId="148A41DB" w:rsidR="008C32B7" w:rsidRDefault="00EF6954">
      <w:pPr>
        <w:pStyle w:val="Heading2"/>
        <w:numPr>
          <w:ilvl w:val="0"/>
          <w:numId w:val="3"/>
        </w:numPr>
        <w:tabs>
          <w:tab w:val="left" w:pos="820"/>
        </w:tabs>
        <w:spacing w:before="162"/>
      </w:pPr>
      <w:r>
        <w:t>Connaissance et compréhension de la communauté</w:t>
      </w:r>
    </w:p>
    <w:p w14:paraId="25DE93F2" w14:textId="77777777" w:rsidR="008C32B7" w:rsidRDefault="00EF6954" w:rsidP="00545FFC">
      <w:pPr>
        <w:pStyle w:val="ListParagraph"/>
        <w:numPr>
          <w:ilvl w:val="1"/>
          <w:numId w:val="3"/>
        </w:numPr>
        <w:tabs>
          <w:tab w:val="left" w:pos="1180"/>
        </w:tabs>
        <w:spacing w:line="254" w:lineRule="auto"/>
        <w:ind w:right="115" w:hanging="329"/>
        <w:jc w:val="both"/>
        <w:rPr>
          <w:sz w:val="24"/>
        </w:rPr>
      </w:pPr>
      <w:r>
        <w:rPr>
          <w:sz w:val="24"/>
        </w:rPr>
        <w:t>Avoir une bonne compréhension des problèmes sociaux qui donnent lieu aux causes entendues devant les tribunaux.</w:t>
      </w:r>
    </w:p>
    <w:p w14:paraId="66DE6B33" w14:textId="77777777" w:rsidR="008C32B7" w:rsidRDefault="00EF6954" w:rsidP="00545FFC">
      <w:pPr>
        <w:pStyle w:val="ListParagraph"/>
        <w:numPr>
          <w:ilvl w:val="1"/>
          <w:numId w:val="3"/>
        </w:numPr>
        <w:tabs>
          <w:tab w:val="left" w:pos="1180"/>
        </w:tabs>
        <w:spacing w:before="164"/>
        <w:ind w:hanging="329"/>
        <w:jc w:val="both"/>
        <w:rPr>
          <w:sz w:val="24"/>
        </w:rPr>
      </w:pPr>
      <w:r>
        <w:rPr>
          <w:sz w:val="24"/>
        </w:rPr>
        <w:t>Être sensible aux évolutions des valeurs sociales en lien avec les affaires criminelles et familiales.</w:t>
      </w:r>
    </w:p>
    <w:p w14:paraId="7DC37DE2" w14:textId="77777777" w:rsidR="008C32B7" w:rsidRDefault="00EF6954">
      <w:pPr>
        <w:pStyle w:val="Heading2"/>
        <w:numPr>
          <w:ilvl w:val="0"/>
          <w:numId w:val="3"/>
        </w:numPr>
        <w:tabs>
          <w:tab w:val="left" w:pos="820"/>
        </w:tabs>
        <w:spacing w:before="183"/>
      </w:pPr>
      <w:r>
        <w:t>Diversité</w:t>
      </w:r>
    </w:p>
    <w:p w14:paraId="4FC138B1" w14:textId="4CE1BF20" w:rsidR="008C32B7" w:rsidRDefault="00EF6954" w:rsidP="00545FFC">
      <w:pPr>
        <w:pStyle w:val="ListParagraph"/>
        <w:numPr>
          <w:ilvl w:val="1"/>
          <w:numId w:val="3"/>
        </w:numPr>
        <w:tabs>
          <w:tab w:val="left" w:pos="1180"/>
        </w:tabs>
        <w:spacing w:before="181" w:line="256" w:lineRule="auto"/>
        <w:ind w:right="114" w:hanging="329"/>
        <w:jc w:val="both"/>
        <w:rPr>
          <w:sz w:val="24"/>
        </w:rPr>
      </w:pPr>
      <w:r>
        <w:rPr>
          <w:sz w:val="24"/>
        </w:rPr>
        <w:t>Le Comité s</w:t>
      </w:r>
      <w:r w:rsidR="00030624">
        <w:rPr>
          <w:sz w:val="24"/>
        </w:rPr>
        <w:t>’</w:t>
      </w:r>
      <w:r>
        <w:rPr>
          <w:sz w:val="24"/>
        </w:rPr>
        <w:t>efforcera de veiller à ce que le bassin de candidats reflète la diversité du Manitoba.</w:t>
      </w:r>
    </w:p>
    <w:p w14:paraId="42A8C63A" w14:textId="77777777" w:rsidR="008C32B7" w:rsidRDefault="00EF6954" w:rsidP="00545FFC">
      <w:pPr>
        <w:pStyle w:val="ListParagraph"/>
        <w:numPr>
          <w:ilvl w:val="1"/>
          <w:numId w:val="3"/>
        </w:numPr>
        <w:tabs>
          <w:tab w:val="left" w:pos="1180"/>
        </w:tabs>
        <w:spacing w:before="160"/>
        <w:ind w:hanging="329"/>
        <w:jc w:val="both"/>
        <w:rPr>
          <w:sz w:val="24"/>
        </w:rPr>
      </w:pPr>
      <w:r>
        <w:rPr>
          <w:sz w:val="24"/>
        </w:rPr>
        <w:t>Les candidats seront invités à se définir comme des candidats issus de la diversité.</w:t>
      </w:r>
    </w:p>
    <w:p w14:paraId="4ED17895" w14:textId="77777777" w:rsidR="008C32B7" w:rsidRDefault="00EF6954" w:rsidP="00030624">
      <w:pPr>
        <w:pStyle w:val="Heading2"/>
        <w:numPr>
          <w:ilvl w:val="0"/>
          <w:numId w:val="3"/>
        </w:numPr>
        <w:tabs>
          <w:tab w:val="left" w:pos="820"/>
        </w:tabs>
        <w:spacing w:before="158"/>
        <w:ind w:left="822"/>
      </w:pPr>
      <w:r>
        <w:t>Langue</w:t>
      </w:r>
    </w:p>
    <w:p w14:paraId="550BDA6C" w14:textId="77777777" w:rsidR="008C32B7" w:rsidRDefault="00EF6954" w:rsidP="00545FFC">
      <w:pPr>
        <w:pStyle w:val="ListParagraph"/>
        <w:numPr>
          <w:ilvl w:val="1"/>
          <w:numId w:val="3"/>
        </w:numPr>
        <w:tabs>
          <w:tab w:val="left" w:pos="1180"/>
        </w:tabs>
        <w:spacing w:line="256" w:lineRule="auto"/>
        <w:ind w:right="115" w:hanging="329"/>
        <w:jc w:val="both"/>
        <w:rPr>
          <w:sz w:val="24"/>
        </w:rPr>
      </w:pPr>
      <w:r>
        <w:rPr>
          <w:sz w:val="24"/>
        </w:rPr>
        <w:t>Il importe pour les juges de la Cour provinciale de refléter le caractère bilingue (français et anglais) de la province.</w:t>
      </w:r>
    </w:p>
    <w:p w14:paraId="42C74976" w14:textId="77777777" w:rsidR="008C32B7" w:rsidRDefault="00EF6954" w:rsidP="00545FFC">
      <w:pPr>
        <w:pStyle w:val="ListParagraph"/>
        <w:numPr>
          <w:ilvl w:val="1"/>
          <w:numId w:val="3"/>
        </w:numPr>
        <w:tabs>
          <w:tab w:val="left" w:pos="1180"/>
        </w:tabs>
        <w:spacing w:before="158"/>
        <w:ind w:left="1179" w:hanging="329"/>
        <w:jc w:val="both"/>
        <w:rPr>
          <w:sz w:val="24"/>
        </w:rPr>
      </w:pPr>
      <w:r>
        <w:rPr>
          <w:sz w:val="24"/>
        </w:rPr>
        <w:t>Les candidats seront invités à se définir comme des candidats bilingues.</w:t>
      </w:r>
    </w:p>
    <w:p w14:paraId="725A00BE" w14:textId="77777777" w:rsidR="008C32B7" w:rsidRDefault="00EF6954">
      <w:pPr>
        <w:pStyle w:val="Heading1"/>
        <w:spacing w:before="262"/>
      </w:pPr>
      <w:r>
        <w:t>CONFIDENTIALITÉ</w:t>
      </w:r>
    </w:p>
    <w:p w14:paraId="01DB60CE" w14:textId="172DB012" w:rsidR="008C32B7" w:rsidRDefault="00EF6954" w:rsidP="00545FFC">
      <w:pPr>
        <w:pStyle w:val="BodyText"/>
        <w:spacing w:line="259" w:lineRule="auto"/>
        <w:ind w:left="851" w:right="114" w:firstLine="0"/>
        <w:jc w:val="both"/>
      </w:pPr>
      <w:r>
        <w:t>Le Comité s</w:t>
      </w:r>
      <w:r w:rsidR="00030624">
        <w:t>’</w:t>
      </w:r>
      <w:r>
        <w:t>engage à préserver la confidentialité des renseignements dont il dispose, conformément aux principes suivants :</w:t>
      </w:r>
    </w:p>
    <w:p w14:paraId="581D61FA" w14:textId="77777777" w:rsidR="008C32B7" w:rsidRDefault="00EF6954" w:rsidP="00545FFC">
      <w:pPr>
        <w:pStyle w:val="ListParagraph"/>
        <w:numPr>
          <w:ilvl w:val="0"/>
          <w:numId w:val="2"/>
        </w:numPr>
        <w:tabs>
          <w:tab w:val="left" w:pos="1540"/>
        </w:tabs>
        <w:spacing w:before="160"/>
        <w:ind w:hanging="689"/>
        <w:jc w:val="both"/>
        <w:rPr>
          <w:sz w:val="24"/>
        </w:rPr>
      </w:pPr>
      <w:r>
        <w:rPr>
          <w:sz w:val="24"/>
        </w:rPr>
        <w:t>les renseignements relatifs aux processus généraux du Comité sont ouverts à tous;</w:t>
      </w:r>
    </w:p>
    <w:p w14:paraId="7A4494ED" w14:textId="76568C19" w:rsidR="008C32B7" w:rsidRDefault="00EF6954" w:rsidP="00545FFC">
      <w:pPr>
        <w:pStyle w:val="ListParagraph"/>
        <w:numPr>
          <w:ilvl w:val="0"/>
          <w:numId w:val="2"/>
        </w:numPr>
        <w:tabs>
          <w:tab w:val="left" w:pos="1538"/>
          <w:tab w:val="left" w:pos="1540"/>
        </w:tabs>
        <w:spacing w:before="182" w:line="259" w:lineRule="auto"/>
        <w:ind w:right="117" w:hanging="689"/>
        <w:jc w:val="both"/>
        <w:rPr>
          <w:sz w:val="24"/>
        </w:rPr>
      </w:pPr>
      <w:r>
        <w:rPr>
          <w:sz w:val="24"/>
        </w:rPr>
        <w:t>les renseignements relatifs à des candidats particuliers sont confidentiels, à moins qu</w:t>
      </w:r>
      <w:r w:rsidR="00030624">
        <w:rPr>
          <w:sz w:val="24"/>
        </w:rPr>
        <w:t>’</w:t>
      </w:r>
      <w:r>
        <w:rPr>
          <w:sz w:val="24"/>
        </w:rPr>
        <w:t>ils ne soient divulgués par les candidats eux-mêmes.</w:t>
      </w:r>
    </w:p>
    <w:p w14:paraId="34124887" w14:textId="2CBAD52A" w:rsidR="008C32B7" w:rsidRDefault="00EF6954" w:rsidP="00545FFC">
      <w:pPr>
        <w:pStyle w:val="BodyText"/>
        <w:spacing w:before="158" w:line="261" w:lineRule="auto"/>
        <w:ind w:left="851" w:firstLine="0"/>
        <w:jc w:val="both"/>
      </w:pPr>
      <w:r>
        <w:t>Le Comité met tout en œuvre pour protéger la vie privée des candidats. Il s</w:t>
      </w:r>
      <w:r w:rsidR="00030624">
        <w:t>’</w:t>
      </w:r>
      <w:r>
        <w:t>agit notamment des mesures suivantes :</w:t>
      </w:r>
    </w:p>
    <w:p w14:paraId="3C752368" w14:textId="42163783" w:rsidR="008C32B7" w:rsidRDefault="00EF6954" w:rsidP="00545FFC">
      <w:pPr>
        <w:pStyle w:val="ListParagraph"/>
        <w:numPr>
          <w:ilvl w:val="0"/>
          <w:numId w:val="1"/>
        </w:numPr>
        <w:tabs>
          <w:tab w:val="left" w:pos="1540"/>
        </w:tabs>
        <w:spacing w:before="155"/>
        <w:ind w:hanging="689"/>
        <w:jc w:val="both"/>
        <w:rPr>
          <w:sz w:val="24"/>
        </w:rPr>
      </w:pPr>
      <w:r>
        <w:rPr>
          <w:sz w:val="24"/>
        </w:rPr>
        <w:t>la conservation de l</w:t>
      </w:r>
      <w:r w:rsidR="00030624">
        <w:rPr>
          <w:sz w:val="24"/>
        </w:rPr>
        <w:t>’</w:t>
      </w:r>
      <w:r>
        <w:rPr>
          <w:sz w:val="24"/>
        </w:rPr>
        <w:t>information sensible en lieu sûr;</w:t>
      </w:r>
    </w:p>
    <w:p w14:paraId="74DC27BE" w14:textId="77777777" w:rsidR="008C32B7" w:rsidRDefault="00EF6954" w:rsidP="00545FFC">
      <w:pPr>
        <w:pStyle w:val="ListParagraph"/>
        <w:numPr>
          <w:ilvl w:val="0"/>
          <w:numId w:val="1"/>
        </w:numPr>
        <w:tabs>
          <w:tab w:val="left" w:pos="1540"/>
        </w:tabs>
        <w:spacing w:before="182"/>
        <w:ind w:hanging="689"/>
        <w:jc w:val="both"/>
        <w:rPr>
          <w:sz w:val="24"/>
        </w:rPr>
      </w:pPr>
      <w:r>
        <w:rPr>
          <w:sz w:val="24"/>
        </w:rPr>
        <w:t>la séparation des candidats les jours où sont menées les entrevues;</w:t>
      </w:r>
    </w:p>
    <w:p w14:paraId="3CED917F" w14:textId="1B0FED72" w:rsidR="008C32B7" w:rsidRDefault="00EF6954" w:rsidP="00545FFC">
      <w:pPr>
        <w:pStyle w:val="ListParagraph"/>
        <w:numPr>
          <w:ilvl w:val="0"/>
          <w:numId w:val="1"/>
        </w:numPr>
        <w:tabs>
          <w:tab w:val="left" w:pos="1538"/>
          <w:tab w:val="left" w:pos="1540"/>
        </w:tabs>
        <w:spacing w:line="259" w:lineRule="auto"/>
        <w:ind w:right="125" w:hanging="689"/>
        <w:jc w:val="both"/>
        <w:rPr>
          <w:sz w:val="24"/>
        </w:rPr>
      </w:pPr>
      <w:r>
        <w:rPr>
          <w:sz w:val="24"/>
        </w:rPr>
        <w:t>la destruction ou le déchiquetage des dossiers de candidature et des notes, dès que possible, après la nomination d</w:t>
      </w:r>
      <w:r w:rsidR="00030624">
        <w:rPr>
          <w:sz w:val="24"/>
        </w:rPr>
        <w:t>’</w:t>
      </w:r>
      <w:r>
        <w:rPr>
          <w:sz w:val="24"/>
        </w:rPr>
        <w:t>un candidat;</w:t>
      </w:r>
    </w:p>
    <w:p w14:paraId="00F37727" w14:textId="305A1D8A" w:rsidR="008C32B7" w:rsidRDefault="00814E4F" w:rsidP="00545FFC">
      <w:pPr>
        <w:pStyle w:val="ListParagraph"/>
        <w:numPr>
          <w:ilvl w:val="0"/>
          <w:numId w:val="1"/>
        </w:numPr>
        <w:tabs>
          <w:tab w:val="left" w:pos="1538"/>
          <w:tab w:val="left" w:pos="1540"/>
        </w:tabs>
        <w:spacing w:before="159" w:line="259" w:lineRule="auto"/>
        <w:ind w:right="122" w:hanging="689"/>
        <w:jc w:val="both"/>
        <w:rPr>
          <w:sz w:val="24"/>
        </w:rPr>
      </w:pPr>
      <w:r w:rsidRPr="00814E4F">
        <w:rPr>
          <w:sz w:val="24"/>
        </w:rPr>
        <w:t>la notification des personnes désignées comme des références du fait que tous les renseignements reçus par le Comité demeureront confidentiels;</w:t>
      </w:r>
    </w:p>
    <w:p w14:paraId="172EC79F" w14:textId="55FE0C3E" w:rsidR="008C32B7" w:rsidRDefault="00814E4F" w:rsidP="00545FFC">
      <w:pPr>
        <w:pStyle w:val="ListParagraph"/>
        <w:numPr>
          <w:ilvl w:val="0"/>
          <w:numId w:val="1"/>
        </w:numPr>
        <w:tabs>
          <w:tab w:val="left" w:pos="1538"/>
          <w:tab w:val="left" w:pos="1540"/>
        </w:tabs>
        <w:spacing w:before="161" w:line="259" w:lineRule="auto"/>
        <w:ind w:right="114" w:hanging="689"/>
        <w:jc w:val="both"/>
        <w:rPr>
          <w:sz w:val="24"/>
        </w:rPr>
      </w:pPr>
      <w:r w:rsidRPr="00814E4F">
        <w:rPr>
          <w:sz w:val="24"/>
        </w:rPr>
        <w:t>la notification des avocats, juges, fonctionnaires de justice et interlocuteurs de la collectivité sollicités dans le cadre d’enquêtes discrètes du fait que leur nom ne sera pas associé aux commentaires qu’ils auront formulés à titre confidentiel;</w:t>
      </w:r>
    </w:p>
    <w:p w14:paraId="78ACD7EE" w14:textId="679948E1" w:rsidR="008C32B7" w:rsidRDefault="00EF6954" w:rsidP="00545FFC">
      <w:pPr>
        <w:pStyle w:val="ListParagraph"/>
        <w:numPr>
          <w:ilvl w:val="0"/>
          <w:numId w:val="1"/>
        </w:numPr>
        <w:tabs>
          <w:tab w:val="left" w:pos="1538"/>
          <w:tab w:val="left" w:pos="1540"/>
        </w:tabs>
        <w:spacing w:before="157" w:line="261" w:lineRule="auto"/>
        <w:ind w:right="119" w:hanging="689"/>
        <w:jc w:val="both"/>
        <w:rPr>
          <w:sz w:val="24"/>
        </w:rPr>
      </w:pPr>
      <w:r>
        <w:rPr>
          <w:sz w:val="24"/>
        </w:rPr>
        <w:t>le maintien d</w:t>
      </w:r>
      <w:r w:rsidR="00030624">
        <w:rPr>
          <w:sz w:val="24"/>
        </w:rPr>
        <w:t>’</w:t>
      </w:r>
      <w:r>
        <w:rPr>
          <w:sz w:val="24"/>
        </w:rPr>
        <w:t>une interdiction stricte d</w:t>
      </w:r>
      <w:r w:rsidR="00030624">
        <w:rPr>
          <w:sz w:val="24"/>
        </w:rPr>
        <w:t>’</w:t>
      </w:r>
      <w:r>
        <w:rPr>
          <w:sz w:val="24"/>
        </w:rPr>
        <w:t>accès aux dossiers des candidats, y compris pour le personnel du gouvernement n</w:t>
      </w:r>
      <w:r w:rsidR="00030624">
        <w:rPr>
          <w:sz w:val="24"/>
        </w:rPr>
        <w:t>’</w:t>
      </w:r>
      <w:r>
        <w:rPr>
          <w:sz w:val="24"/>
        </w:rPr>
        <w:t>étant pas associé au Comité.</w:t>
      </w:r>
    </w:p>
    <w:sectPr w:rsidR="008C32B7" w:rsidSect="00030624">
      <w:pgSz w:w="12240" w:h="15840"/>
      <w:pgMar w:top="851" w:right="1320" w:bottom="980" w:left="134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671EE" w14:textId="77777777" w:rsidR="00425943" w:rsidRDefault="00425943">
      <w:r>
        <w:separator/>
      </w:r>
    </w:p>
  </w:endnote>
  <w:endnote w:type="continuationSeparator" w:id="0">
    <w:p w14:paraId="3D14FF47" w14:textId="77777777" w:rsidR="00425943" w:rsidRDefault="0042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AA1B" w14:textId="39147602" w:rsidR="008C32B7" w:rsidRDefault="00030624">
    <w:pPr>
      <w:pStyle w:val="BodyText"/>
      <w:spacing w:before="0" w:line="14" w:lineRule="auto"/>
      <w:ind w:left="0" w:firstLine="0"/>
      <w:rPr>
        <w:sz w:val="20"/>
      </w:rPr>
    </w:pPr>
    <w:r>
      <w:rPr>
        <w:noProof/>
      </w:rPr>
      <mc:AlternateContent>
        <mc:Choice Requires="wps">
          <w:drawing>
            <wp:anchor distT="0" distB="0" distL="0" distR="0" simplePos="0" relativeHeight="251657216" behindDoc="1" locked="0" layoutInCell="1" allowOverlap="1" wp14:anchorId="04C51AE1" wp14:editId="1A40DA35">
              <wp:simplePos x="0" y="0"/>
              <wp:positionH relativeFrom="page">
                <wp:posOffset>898497</wp:posOffset>
              </wp:positionH>
              <wp:positionV relativeFrom="page">
                <wp:posOffset>9430248</wp:posOffset>
              </wp:positionV>
              <wp:extent cx="2735249" cy="182908"/>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5249" cy="182908"/>
                      </a:xfrm>
                      <a:prstGeom prst="rect">
                        <a:avLst/>
                      </a:prstGeom>
                    </wps:spPr>
                    <wps:txbx>
                      <w:txbxContent>
                        <w:p w14:paraId="05228765" w14:textId="77777777" w:rsidR="008C32B7" w:rsidRDefault="00EF6954">
                          <w:pPr>
                            <w:spacing w:before="12"/>
                            <w:ind w:left="20"/>
                            <w:rPr>
                              <w:sz w:val="20"/>
                            </w:rPr>
                          </w:pPr>
                          <w:r>
                            <w:rPr>
                              <w:sz w:val="20"/>
                            </w:rPr>
                            <w:t>Processus de nomination des juges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4C51AE1" id="_x0000_t202" coordsize="21600,21600" o:spt="202" path="m,l,21600r21600,l21600,xe">
              <v:stroke joinstyle="miter"/>
              <v:path gradientshapeok="t" o:connecttype="rect"/>
            </v:shapetype>
            <v:shape id="Textbox 2" o:spid="_x0000_s1026" type="#_x0000_t202" style="position:absolute;margin-left:70.75pt;margin-top:742.55pt;width:215.35pt;height:14.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" filled="f" stroked="f">
              <v:textbox inset="0,0,0,0">
                <w:txbxContent>
                  <w:p w14:paraId="05228765" w14:textId="77777777" w:rsidR="008C32B7" w:rsidRDefault="00EF6954">
                    <w:pPr>
                      <w:spacing w:before="12"/>
                      <w:ind w:left="20"/>
                      <w:rPr>
                        <w:sz w:val="20"/>
                      </w:rPr>
                    </w:pPr>
                    <w:r>
                      <w:rPr>
                        <w:sz w:val="20"/>
                      </w:rPr>
                      <w:t>Processus de nomination des juges</w:t>
                    </w:r>
                  </w:p>
                </w:txbxContent>
              </v:textbox>
              <w10:wrap anchorx="page" anchory="page"/>
            </v:shape>
          </w:pict>
        </mc:Fallback>
      </mc:AlternateContent>
    </w:r>
    <w:r w:rsidR="00EF6954">
      <w:rPr>
        <w:noProof/>
      </w:rPr>
      <mc:AlternateContent>
        <mc:Choice Requires="wps">
          <w:drawing>
            <wp:anchor distT="0" distB="0" distL="0" distR="0" simplePos="0" relativeHeight="251654144" behindDoc="1" locked="0" layoutInCell="1" allowOverlap="1" wp14:anchorId="5B0BF1CB" wp14:editId="4D5A18AC">
              <wp:simplePos x="0" y="0"/>
              <wp:positionH relativeFrom="page">
                <wp:posOffset>896416</wp:posOffset>
              </wp:positionH>
              <wp:positionV relativeFrom="page">
                <wp:posOffset>9434779</wp:posOffset>
              </wp:positionV>
              <wp:extent cx="598106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E3D46F" id="Graphic 1" o:spid="_x0000_s1026" style="position:absolute;margin-left:70.6pt;margin-top:742.9pt;width:470.95pt;height:.5pt;z-index:-251662336;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JR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" path="m5981065,l,,,6095r5981065,l5981065,xe" fillcolor="black" stroked="f">
              <v:path arrowok="t"/>
              <w10:wrap anchorx="page" anchory="page"/>
            </v:shape>
          </w:pict>
        </mc:Fallback>
      </mc:AlternateContent>
    </w:r>
    <w:r w:rsidR="00EF6954">
      <w:rPr>
        <w:noProof/>
      </w:rPr>
      <mc:AlternateContent>
        <mc:Choice Requires="wps">
          <w:drawing>
            <wp:anchor distT="0" distB="0" distL="0" distR="0" simplePos="0" relativeHeight="251659264" behindDoc="1" locked="0" layoutInCell="1" allowOverlap="1" wp14:anchorId="09A48330" wp14:editId="074981E9">
              <wp:simplePos x="0" y="0"/>
              <wp:positionH relativeFrom="page">
                <wp:posOffset>3726307</wp:posOffset>
              </wp:positionH>
              <wp:positionV relativeFrom="page">
                <wp:posOffset>9444729</wp:posOffset>
              </wp:positionV>
              <wp:extent cx="25082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67005"/>
                      </a:xfrm>
                      <a:prstGeom prst="rect">
                        <a:avLst/>
                      </a:prstGeom>
                    </wps:spPr>
                    <wps:txbx>
                      <w:txbxContent>
                        <w:p w14:paraId="56646D27" w14:textId="77777777" w:rsidR="008C32B7" w:rsidRDefault="00EF6954">
                          <w:pPr>
                            <w:spacing w:before="12"/>
                            <w:ind w:left="20"/>
                            <w:rPr>
                              <w:sz w:val="20"/>
                            </w:rPr>
                          </w:pP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txbxContent>
                    </wps:txbx>
                    <wps:bodyPr wrap="square" lIns="0" tIns="0" rIns="0" bIns="0" rtlCol="0">
                      <a:noAutofit/>
                    </wps:bodyPr>
                  </wps:wsp>
                </a:graphicData>
              </a:graphic>
            </wp:anchor>
          </w:drawing>
        </mc:Choice>
        <mc:Fallback>
          <w:pict>
            <v:shape w14:anchorId="09A48330" id="Textbox 3" o:spid="_x0000_s1027" type="#_x0000_t202" style="position:absolute;margin-left:293.4pt;margin-top:743.7pt;width:19.75pt;height:13.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" filled="f" stroked="f">
              <v:textbox inset="0,0,0,0">
                <w:txbxContent>
                  <w:p w14:paraId="56646D27" w14:textId="77777777" w:rsidR="008C32B7" w:rsidRDefault="00EF6954">
                    <w:pPr>
                      <w:spacing w:before="12"/>
                      <w:ind w:left="20"/>
                      <w:rPr>
                        <w:sz w:val="20"/>
                      </w:rPr>
                    </w:pP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txbxContent>
              </v:textbox>
              <w10:wrap anchorx="page" anchory="page"/>
            </v:shape>
          </w:pict>
        </mc:Fallback>
      </mc:AlternateContent>
    </w:r>
    <w:r w:rsidR="00EF6954">
      <w:rPr>
        <w:noProof/>
      </w:rPr>
      <mc:AlternateContent>
        <mc:Choice Requires="wps">
          <w:drawing>
            <wp:anchor distT="0" distB="0" distL="0" distR="0" simplePos="0" relativeHeight="251662336" behindDoc="1" locked="0" layoutInCell="1" allowOverlap="1" wp14:anchorId="2A098756" wp14:editId="4A99B0DA">
              <wp:simplePos x="0" y="0"/>
              <wp:positionH relativeFrom="page">
                <wp:posOffset>5878448</wp:posOffset>
              </wp:positionH>
              <wp:positionV relativeFrom="page">
                <wp:posOffset>9444729</wp:posOffset>
              </wp:positionV>
              <wp:extent cx="935990"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67005"/>
                      </a:xfrm>
                      <a:prstGeom prst="rect">
                        <a:avLst/>
                      </a:prstGeom>
                    </wps:spPr>
                    <wps:txbx>
                      <w:txbxContent>
                        <w:p w14:paraId="041A9774" w14:textId="4647BDA7" w:rsidR="008C32B7" w:rsidRPr="00C1256A" w:rsidRDefault="00F53F1E">
                          <w:pPr>
                            <w:spacing w:before="12"/>
                            <w:ind w:left="20"/>
                            <w:rPr>
                              <w:sz w:val="20"/>
                            </w:rPr>
                          </w:pPr>
                          <w:r>
                            <w:rPr>
                              <w:sz w:val="20"/>
                            </w:rPr>
                            <w:t>6 mars 2026</w:t>
                          </w:r>
                        </w:p>
                      </w:txbxContent>
                    </wps:txbx>
                    <wps:bodyPr wrap="square" lIns="0" tIns="0" rIns="0" bIns="0" rtlCol="0">
                      <a:noAutofit/>
                    </wps:bodyPr>
                  </wps:wsp>
                </a:graphicData>
              </a:graphic>
            </wp:anchor>
          </w:drawing>
        </mc:Choice>
        <mc:Fallback>
          <w:pict>
            <v:shapetype w14:anchorId="2A098756" id="_x0000_t202" coordsize="21600,21600" o:spt="202" path="m,l,21600r21600,l21600,xe">
              <v:stroke joinstyle="miter"/>
              <v:path gradientshapeok="t" o:connecttype="rect"/>
            </v:shapetype>
            <v:shape id="Textbox 4" o:spid="_x0000_s1028" type="#_x0000_t202" style="position:absolute;margin-left:462.85pt;margin-top:743.7pt;width:73.7pt;height:13.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" filled="f" stroked="f">
              <v:textbox inset="0,0,0,0">
                <w:txbxContent>
                  <w:p w14:paraId="041A9774" w14:textId="4647BDA7" w:rsidR="008C32B7" w:rsidRPr="00C1256A" w:rsidRDefault="00F53F1E">
                    <w:pPr>
                      <w:spacing w:before="12"/>
                      <w:ind w:left="20"/>
                      <w:rPr>
                        <w:sz w:val="20"/>
                      </w:rPr>
                    </w:pPr>
                    <w:r>
                      <w:rPr>
                        <w:sz w:val="20"/>
                      </w:rPr>
                      <w:t>6 mars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79E1" w14:textId="77777777" w:rsidR="00425943" w:rsidRDefault="00425943">
      <w:r>
        <w:separator/>
      </w:r>
    </w:p>
  </w:footnote>
  <w:footnote w:type="continuationSeparator" w:id="0">
    <w:p w14:paraId="54A31E61" w14:textId="77777777" w:rsidR="00425943" w:rsidRDefault="00425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59E"/>
    <w:multiLevelType w:val="hybridMultilevel"/>
    <w:tmpl w:val="C736D5B8"/>
    <w:lvl w:ilvl="0" w:tplc="86F010F4">
      <w:start w:val="1"/>
      <w:numFmt w:val="decimal"/>
      <w:lvlText w:val="%1."/>
      <w:lvlJc w:val="left"/>
      <w:pPr>
        <w:ind w:left="1540" w:hanging="720"/>
        <w:jc w:val="left"/>
      </w:pPr>
      <w:rPr>
        <w:rFonts w:ascii="Arial" w:eastAsia="Arial" w:hAnsi="Arial" w:cs="Arial" w:hint="default"/>
        <w:b w:val="0"/>
        <w:bCs w:val="0"/>
        <w:i w:val="0"/>
        <w:iCs w:val="0"/>
        <w:spacing w:val="0"/>
        <w:w w:val="100"/>
        <w:sz w:val="24"/>
        <w:szCs w:val="24"/>
        <w:lang w:val="en-US" w:eastAsia="en-US" w:bidi="ar-SA"/>
      </w:rPr>
    </w:lvl>
    <w:lvl w:ilvl="1" w:tplc="AA90CA2C">
      <w:numFmt w:val="bullet"/>
      <w:lvlText w:val="•"/>
      <w:lvlJc w:val="left"/>
      <w:pPr>
        <w:ind w:left="2344" w:hanging="720"/>
      </w:pPr>
      <w:rPr>
        <w:rFonts w:hint="default"/>
        <w:lang w:val="en-US" w:eastAsia="en-US" w:bidi="ar-SA"/>
      </w:rPr>
    </w:lvl>
    <w:lvl w:ilvl="2" w:tplc="A3080284">
      <w:numFmt w:val="bullet"/>
      <w:lvlText w:val="•"/>
      <w:lvlJc w:val="left"/>
      <w:pPr>
        <w:ind w:left="3148" w:hanging="720"/>
      </w:pPr>
      <w:rPr>
        <w:rFonts w:hint="default"/>
        <w:lang w:val="en-US" w:eastAsia="en-US" w:bidi="ar-SA"/>
      </w:rPr>
    </w:lvl>
    <w:lvl w:ilvl="3" w:tplc="EDF69222">
      <w:numFmt w:val="bullet"/>
      <w:lvlText w:val="•"/>
      <w:lvlJc w:val="left"/>
      <w:pPr>
        <w:ind w:left="3952" w:hanging="720"/>
      </w:pPr>
      <w:rPr>
        <w:rFonts w:hint="default"/>
        <w:lang w:val="en-US" w:eastAsia="en-US" w:bidi="ar-SA"/>
      </w:rPr>
    </w:lvl>
    <w:lvl w:ilvl="4" w:tplc="85300728">
      <w:numFmt w:val="bullet"/>
      <w:lvlText w:val="•"/>
      <w:lvlJc w:val="left"/>
      <w:pPr>
        <w:ind w:left="4756" w:hanging="720"/>
      </w:pPr>
      <w:rPr>
        <w:rFonts w:hint="default"/>
        <w:lang w:val="en-US" w:eastAsia="en-US" w:bidi="ar-SA"/>
      </w:rPr>
    </w:lvl>
    <w:lvl w:ilvl="5" w:tplc="FCA0165C">
      <w:numFmt w:val="bullet"/>
      <w:lvlText w:val="•"/>
      <w:lvlJc w:val="left"/>
      <w:pPr>
        <w:ind w:left="5560" w:hanging="720"/>
      </w:pPr>
      <w:rPr>
        <w:rFonts w:hint="default"/>
        <w:lang w:val="en-US" w:eastAsia="en-US" w:bidi="ar-SA"/>
      </w:rPr>
    </w:lvl>
    <w:lvl w:ilvl="6" w:tplc="231AEC34">
      <w:numFmt w:val="bullet"/>
      <w:lvlText w:val="•"/>
      <w:lvlJc w:val="left"/>
      <w:pPr>
        <w:ind w:left="6364" w:hanging="720"/>
      </w:pPr>
      <w:rPr>
        <w:rFonts w:hint="default"/>
        <w:lang w:val="en-US" w:eastAsia="en-US" w:bidi="ar-SA"/>
      </w:rPr>
    </w:lvl>
    <w:lvl w:ilvl="7" w:tplc="2FECF24E">
      <w:numFmt w:val="bullet"/>
      <w:lvlText w:val="•"/>
      <w:lvlJc w:val="left"/>
      <w:pPr>
        <w:ind w:left="7168" w:hanging="720"/>
      </w:pPr>
      <w:rPr>
        <w:rFonts w:hint="default"/>
        <w:lang w:val="en-US" w:eastAsia="en-US" w:bidi="ar-SA"/>
      </w:rPr>
    </w:lvl>
    <w:lvl w:ilvl="8" w:tplc="20DCEFB0">
      <w:numFmt w:val="bullet"/>
      <w:lvlText w:val="•"/>
      <w:lvlJc w:val="left"/>
      <w:pPr>
        <w:ind w:left="7972" w:hanging="720"/>
      </w:pPr>
      <w:rPr>
        <w:rFonts w:hint="default"/>
        <w:lang w:val="en-US" w:eastAsia="en-US" w:bidi="ar-SA"/>
      </w:rPr>
    </w:lvl>
  </w:abstractNum>
  <w:abstractNum w:abstractNumId="1" w15:restartNumberingAfterBreak="0">
    <w:nsid w:val="256724E8"/>
    <w:multiLevelType w:val="hybridMultilevel"/>
    <w:tmpl w:val="22547632"/>
    <w:lvl w:ilvl="0" w:tplc="C3DA227A">
      <w:start w:val="1"/>
      <w:numFmt w:val="decimal"/>
      <w:lvlText w:val="%1."/>
      <w:lvlJc w:val="left"/>
      <w:pPr>
        <w:ind w:left="1540" w:hanging="720"/>
        <w:jc w:val="left"/>
      </w:pPr>
      <w:rPr>
        <w:rFonts w:ascii="Arial" w:eastAsia="Arial" w:hAnsi="Arial" w:cs="Arial" w:hint="default"/>
        <w:b w:val="0"/>
        <w:bCs w:val="0"/>
        <w:i w:val="0"/>
        <w:iCs w:val="0"/>
        <w:spacing w:val="0"/>
        <w:w w:val="100"/>
        <w:sz w:val="24"/>
        <w:szCs w:val="24"/>
        <w:lang w:val="en-US" w:eastAsia="en-US" w:bidi="ar-SA"/>
      </w:rPr>
    </w:lvl>
    <w:lvl w:ilvl="1" w:tplc="F1E220C2">
      <w:numFmt w:val="bullet"/>
      <w:lvlText w:val="•"/>
      <w:lvlJc w:val="left"/>
      <w:pPr>
        <w:ind w:left="2344" w:hanging="720"/>
      </w:pPr>
      <w:rPr>
        <w:rFonts w:hint="default"/>
        <w:lang w:val="en-US" w:eastAsia="en-US" w:bidi="ar-SA"/>
      </w:rPr>
    </w:lvl>
    <w:lvl w:ilvl="2" w:tplc="0CFEE30C">
      <w:numFmt w:val="bullet"/>
      <w:lvlText w:val="•"/>
      <w:lvlJc w:val="left"/>
      <w:pPr>
        <w:ind w:left="3148" w:hanging="720"/>
      </w:pPr>
      <w:rPr>
        <w:rFonts w:hint="default"/>
        <w:lang w:val="en-US" w:eastAsia="en-US" w:bidi="ar-SA"/>
      </w:rPr>
    </w:lvl>
    <w:lvl w:ilvl="3" w:tplc="03124114">
      <w:numFmt w:val="bullet"/>
      <w:lvlText w:val="•"/>
      <w:lvlJc w:val="left"/>
      <w:pPr>
        <w:ind w:left="3952" w:hanging="720"/>
      </w:pPr>
      <w:rPr>
        <w:rFonts w:hint="default"/>
        <w:lang w:val="en-US" w:eastAsia="en-US" w:bidi="ar-SA"/>
      </w:rPr>
    </w:lvl>
    <w:lvl w:ilvl="4" w:tplc="08CE0C64">
      <w:numFmt w:val="bullet"/>
      <w:lvlText w:val="•"/>
      <w:lvlJc w:val="left"/>
      <w:pPr>
        <w:ind w:left="4756" w:hanging="720"/>
      </w:pPr>
      <w:rPr>
        <w:rFonts w:hint="default"/>
        <w:lang w:val="en-US" w:eastAsia="en-US" w:bidi="ar-SA"/>
      </w:rPr>
    </w:lvl>
    <w:lvl w:ilvl="5" w:tplc="D748A2DE">
      <w:numFmt w:val="bullet"/>
      <w:lvlText w:val="•"/>
      <w:lvlJc w:val="left"/>
      <w:pPr>
        <w:ind w:left="5560" w:hanging="720"/>
      </w:pPr>
      <w:rPr>
        <w:rFonts w:hint="default"/>
        <w:lang w:val="en-US" w:eastAsia="en-US" w:bidi="ar-SA"/>
      </w:rPr>
    </w:lvl>
    <w:lvl w:ilvl="6" w:tplc="9572D76E">
      <w:numFmt w:val="bullet"/>
      <w:lvlText w:val="•"/>
      <w:lvlJc w:val="left"/>
      <w:pPr>
        <w:ind w:left="6364" w:hanging="720"/>
      </w:pPr>
      <w:rPr>
        <w:rFonts w:hint="default"/>
        <w:lang w:val="en-US" w:eastAsia="en-US" w:bidi="ar-SA"/>
      </w:rPr>
    </w:lvl>
    <w:lvl w:ilvl="7" w:tplc="190C66AC">
      <w:numFmt w:val="bullet"/>
      <w:lvlText w:val="•"/>
      <w:lvlJc w:val="left"/>
      <w:pPr>
        <w:ind w:left="7168" w:hanging="720"/>
      </w:pPr>
      <w:rPr>
        <w:rFonts w:hint="default"/>
        <w:lang w:val="en-US" w:eastAsia="en-US" w:bidi="ar-SA"/>
      </w:rPr>
    </w:lvl>
    <w:lvl w:ilvl="8" w:tplc="6E60B572">
      <w:numFmt w:val="bullet"/>
      <w:lvlText w:val="•"/>
      <w:lvlJc w:val="left"/>
      <w:pPr>
        <w:ind w:left="7972" w:hanging="720"/>
      </w:pPr>
      <w:rPr>
        <w:rFonts w:hint="default"/>
        <w:lang w:val="en-US" w:eastAsia="en-US" w:bidi="ar-SA"/>
      </w:rPr>
    </w:lvl>
  </w:abstractNum>
  <w:abstractNum w:abstractNumId="2" w15:restartNumberingAfterBreak="0">
    <w:nsid w:val="363D7E18"/>
    <w:multiLevelType w:val="hybridMultilevel"/>
    <w:tmpl w:val="671E6370"/>
    <w:lvl w:ilvl="0" w:tplc="19F4EF82">
      <w:start w:val="1"/>
      <w:numFmt w:val="decimal"/>
      <w:lvlText w:val="%1."/>
      <w:lvlJc w:val="left"/>
      <w:pPr>
        <w:ind w:left="820" w:hanging="720"/>
        <w:jc w:val="left"/>
      </w:pPr>
      <w:rPr>
        <w:rFonts w:ascii="Arial" w:eastAsia="Arial" w:hAnsi="Arial" w:cs="Arial" w:hint="default"/>
        <w:b/>
        <w:bCs/>
        <w:i w:val="0"/>
        <w:iCs w:val="0"/>
        <w:spacing w:val="0"/>
        <w:w w:val="100"/>
        <w:sz w:val="24"/>
        <w:szCs w:val="24"/>
        <w:lang w:val="en-US" w:eastAsia="en-US" w:bidi="ar-SA"/>
      </w:rPr>
    </w:lvl>
    <w:lvl w:ilvl="1" w:tplc="F08E19DC">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2" w:tplc="706EABBE">
      <w:numFmt w:val="bullet"/>
      <w:lvlText w:val="•"/>
      <w:lvlJc w:val="left"/>
      <w:pPr>
        <w:ind w:left="2113" w:hanging="360"/>
      </w:pPr>
      <w:rPr>
        <w:rFonts w:hint="default"/>
        <w:lang w:val="en-US" w:eastAsia="en-US" w:bidi="ar-SA"/>
      </w:rPr>
    </w:lvl>
    <w:lvl w:ilvl="3" w:tplc="3EF0F396">
      <w:numFmt w:val="bullet"/>
      <w:lvlText w:val="•"/>
      <w:lvlJc w:val="left"/>
      <w:pPr>
        <w:ind w:left="3046" w:hanging="360"/>
      </w:pPr>
      <w:rPr>
        <w:rFonts w:hint="default"/>
        <w:lang w:val="en-US" w:eastAsia="en-US" w:bidi="ar-SA"/>
      </w:rPr>
    </w:lvl>
    <w:lvl w:ilvl="4" w:tplc="6E0A15BE">
      <w:numFmt w:val="bullet"/>
      <w:lvlText w:val="•"/>
      <w:lvlJc w:val="left"/>
      <w:pPr>
        <w:ind w:left="3980" w:hanging="360"/>
      </w:pPr>
      <w:rPr>
        <w:rFonts w:hint="default"/>
        <w:lang w:val="en-US" w:eastAsia="en-US" w:bidi="ar-SA"/>
      </w:rPr>
    </w:lvl>
    <w:lvl w:ilvl="5" w:tplc="96327F72">
      <w:numFmt w:val="bullet"/>
      <w:lvlText w:val="•"/>
      <w:lvlJc w:val="left"/>
      <w:pPr>
        <w:ind w:left="4913" w:hanging="360"/>
      </w:pPr>
      <w:rPr>
        <w:rFonts w:hint="default"/>
        <w:lang w:val="en-US" w:eastAsia="en-US" w:bidi="ar-SA"/>
      </w:rPr>
    </w:lvl>
    <w:lvl w:ilvl="6" w:tplc="BF083AC6">
      <w:numFmt w:val="bullet"/>
      <w:lvlText w:val="•"/>
      <w:lvlJc w:val="left"/>
      <w:pPr>
        <w:ind w:left="5846" w:hanging="360"/>
      </w:pPr>
      <w:rPr>
        <w:rFonts w:hint="default"/>
        <w:lang w:val="en-US" w:eastAsia="en-US" w:bidi="ar-SA"/>
      </w:rPr>
    </w:lvl>
    <w:lvl w:ilvl="7" w:tplc="11D43DAC">
      <w:numFmt w:val="bullet"/>
      <w:lvlText w:val="•"/>
      <w:lvlJc w:val="left"/>
      <w:pPr>
        <w:ind w:left="6780" w:hanging="360"/>
      </w:pPr>
      <w:rPr>
        <w:rFonts w:hint="default"/>
        <w:lang w:val="en-US" w:eastAsia="en-US" w:bidi="ar-SA"/>
      </w:rPr>
    </w:lvl>
    <w:lvl w:ilvl="8" w:tplc="3D2042AE">
      <w:numFmt w:val="bullet"/>
      <w:lvlText w:val="•"/>
      <w:lvlJc w:val="left"/>
      <w:pPr>
        <w:ind w:left="7713" w:hanging="360"/>
      </w:pPr>
      <w:rPr>
        <w:rFonts w:hint="default"/>
        <w:lang w:val="en-US" w:eastAsia="en-US" w:bidi="ar-SA"/>
      </w:rPr>
    </w:lvl>
  </w:abstractNum>
  <w:abstractNum w:abstractNumId="3" w15:restartNumberingAfterBreak="0">
    <w:nsid w:val="6B560F60"/>
    <w:multiLevelType w:val="hybridMultilevel"/>
    <w:tmpl w:val="21C02DC4"/>
    <w:lvl w:ilvl="0" w:tplc="153017A4">
      <w:start w:val="1"/>
      <w:numFmt w:val="decimal"/>
      <w:lvlText w:val="%1."/>
      <w:lvlJc w:val="left"/>
      <w:pPr>
        <w:ind w:left="820" w:hanging="720"/>
        <w:jc w:val="left"/>
      </w:pPr>
      <w:rPr>
        <w:rFonts w:ascii="Arial" w:eastAsia="Arial" w:hAnsi="Arial" w:cs="Arial" w:hint="default"/>
        <w:b/>
        <w:bCs/>
        <w:i w:val="0"/>
        <w:iCs w:val="0"/>
        <w:spacing w:val="0"/>
        <w:w w:val="100"/>
        <w:sz w:val="24"/>
        <w:szCs w:val="24"/>
        <w:lang w:val="en-US" w:eastAsia="en-US" w:bidi="ar-SA"/>
      </w:rPr>
    </w:lvl>
    <w:lvl w:ilvl="1" w:tplc="5DC85FA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0AA26462">
      <w:numFmt w:val="bullet"/>
      <w:lvlText w:val="•"/>
      <w:lvlJc w:val="left"/>
      <w:pPr>
        <w:ind w:left="2572" w:hanging="360"/>
      </w:pPr>
      <w:rPr>
        <w:rFonts w:hint="default"/>
        <w:lang w:val="en-US" w:eastAsia="en-US" w:bidi="ar-SA"/>
      </w:rPr>
    </w:lvl>
    <w:lvl w:ilvl="3" w:tplc="5C4AF58A">
      <w:numFmt w:val="bullet"/>
      <w:lvlText w:val="•"/>
      <w:lvlJc w:val="left"/>
      <w:pPr>
        <w:ind w:left="3448" w:hanging="360"/>
      </w:pPr>
      <w:rPr>
        <w:rFonts w:hint="default"/>
        <w:lang w:val="en-US" w:eastAsia="en-US" w:bidi="ar-SA"/>
      </w:rPr>
    </w:lvl>
    <w:lvl w:ilvl="4" w:tplc="469C4690">
      <w:numFmt w:val="bullet"/>
      <w:lvlText w:val="•"/>
      <w:lvlJc w:val="left"/>
      <w:pPr>
        <w:ind w:left="4324" w:hanging="360"/>
      </w:pPr>
      <w:rPr>
        <w:rFonts w:hint="default"/>
        <w:lang w:val="en-US" w:eastAsia="en-US" w:bidi="ar-SA"/>
      </w:rPr>
    </w:lvl>
    <w:lvl w:ilvl="5" w:tplc="8B12D2CC">
      <w:numFmt w:val="bullet"/>
      <w:lvlText w:val="•"/>
      <w:lvlJc w:val="left"/>
      <w:pPr>
        <w:ind w:left="5200" w:hanging="360"/>
      </w:pPr>
      <w:rPr>
        <w:rFonts w:hint="default"/>
        <w:lang w:val="en-US" w:eastAsia="en-US" w:bidi="ar-SA"/>
      </w:rPr>
    </w:lvl>
    <w:lvl w:ilvl="6" w:tplc="6284E8F4">
      <w:numFmt w:val="bullet"/>
      <w:lvlText w:val="•"/>
      <w:lvlJc w:val="left"/>
      <w:pPr>
        <w:ind w:left="6076" w:hanging="360"/>
      </w:pPr>
      <w:rPr>
        <w:rFonts w:hint="default"/>
        <w:lang w:val="en-US" w:eastAsia="en-US" w:bidi="ar-SA"/>
      </w:rPr>
    </w:lvl>
    <w:lvl w:ilvl="7" w:tplc="54B6552A">
      <w:numFmt w:val="bullet"/>
      <w:lvlText w:val="•"/>
      <w:lvlJc w:val="left"/>
      <w:pPr>
        <w:ind w:left="6952" w:hanging="360"/>
      </w:pPr>
      <w:rPr>
        <w:rFonts w:hint="default"/>
        <w:lang w:val="en-US" w:eastAsia="en-US" w:bidi="ar-SA"/>
      </w:rPr>
    </w:lvl>
    <w:lvl w:ilvl="8" w:tplc="B3E4DD6C">
      <w:numFmt w:val="bullet"/>
      <w:lvlText w:val="•"/>
      <w:lvlJc w:val="left"/>
      <w:pPr>
        <w:ind w:left="7828" w:hanging="360"/>
      </w:pPr>
      <w:rPr>
        <w:rFonts w:hint="default"/>
        <w:lang w:val="en-US" w:eastAsia="en-US" w:bidi="ar-SA"/>
      </w:rPr>
    </w:lvl>
  </w:abstractNum>
  <w:num w:numId="1" w16cid:durableId="1729570639">
    <w:abstractNumId w:val="0"/>
  </w:num>
  <w:num w:numId="2" w16cid:durableId="887761287">
    <w:abstractNumId w:val="1"/>
  </w:num>
  <w:num w:numId="3" w16cid:durableId="352609555">
    <w:abstractNumId w:val="2"/>
  </w:num>
  <w:num w:numId="4" w16cid:durableId="445926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B7"/>
    <w:rsid w:val="0001256E"/>
    <w:rsid w:val="00030624"/>
    <w:rsid w:val="00083270"/>
    <w:rsid w:val="001462B0"/>
    <w:rsid w:val="001A647F"/>
    <w:rsid w:val="001D2485"/>
    <w:rsid w:val="0029074E"/>
    <w:rsid w:val="003B69BD"/>
    <w:rsid w:val="00425943"/>
    <w:rsid w:val="00545FFC"/>
    <w:rsid w:val="005805A3"/>
    <w:rsid w:val="005E53E0"/>
    <w:rsid w:val="006315E1"/>
    <w:rsid w:val="006A76C4"/>
    <w:rsid w:val="006C261D"/>
    <w:rsid w:val="00744CF5"/>
    <w:rsid w:val="007B4CFE"/>
    <w:rsid w:val="00814E4F"/>
    <w:rsid w:val="008C32B7"/>
    <w:rsid w:val="0098431B"/>
    <w:rsid w:val="00AA4175"/>
    <w:rsid w:val="00AB7949"/>
    <w:rsid w:val="00AC49D8"/>
    <w:rsid w:val="00AF50AA"/>
    <w:rsid w:val="00B05B59"/>
    <w:rsid w:val="00BB690F"/>
    <w:rsid w:val="00BD3E0E"/>
    <w:rsid w:val="00BE22D0"/>
    <w:rsid w:val="00BE2B69"/>
    <w:rsid w:val="00C00778"/>
    <w:rsid w:val="00C1256A"/>
    <w:rsid w:val="00C93D13"/>
    <w:rsid w:val="00CE4624"/>
    <w:rsid w:val="00EE31E8"/>
    <w:rsid w:val="00EF6954"/>
    <w:rsid w:val="00F53F1E"/>
    <w:rsid w:val="00FD47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EE3A0"/>
  <w15:docId w15:val="{054CA3D7-9B15-4449-BE04-737B35CD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spacing w:before="78"/>
      <w:ind w:left="82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3"/>
      <w:ind w:left="1180" w:hanging="360"/>
    </w:pPr>
    <w:rPr>
      <w:sz w:val="24"/>
      <w:szCs w:val="24"/>
    </w:rPr>
  </w:style>
  <w:style w:type="paragraph" w:styleId="ListParagraph">
    <w:name w:val="List Paragraph"/>
    <w:basedOn w:val="Normal"/>
    <w:uiPriority w:val="1"/>
    <w:qFormat/>
    <w:pPr>
      <w:spacing w:before="183"/>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256A"/>
    <w:pPr>
      <w:tabs>
        <w:tab w:val="center" w:pos="4680"/>
        <w:tab w:val="right" w:pos="9360"/>
      </w:tabs>
    </w:pPr>
  </w:style>
  <w:style w:type="character" w:customStyle="1" w:styleId="HeaderChar">
    <w:name w:val="Header Char"/>
    <w:basedOn w:val="DefaultParagraphFont"/>
    <w:link w:val="Header"/>
    <w:uiPriority w:val="99"/>
    <w:rsid w:val="00C1256A"/>
    <w:rPr>
      <w:rFonts w:ascii="Arial" w:eastAsia="Arial" w:hAnsi="Arial" w:cs="Arial"/>
    </w:rPr>
  </w:style>
  <w:style w:type="paragraph" w:styleId="Footer">
    <w:name w:val="footer"/>
    <w:basedOn w:val="Normal"/>
    <w:link w:val="FooterChar"/>
    <w:uiPriority w:val="99"/>
    <w:unhideWhenUsed/>
    <w:rsid w:val="00C1256A"/>
    <w:pPr>
      <w:tabs>
        <w:tab w:val="center" w:pos="4680"/>
        <w:tab w:val="right" w:pos="9360"/>
      </w:tabs>
    </w:pPr>
  </w:style>
  <w:style w:type="character" w:customStyle="1" w:styleId="FooterChar">
    <w:name w:val="Footer Char"/>
    <w:basedOn w:val="DefaultParagraphFont"/>
    <w:link w:val="Footer"/>
    <w:uiPriority w:val="99"/>
    <w:rsid w:val="00C1256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26896">
      <w:bodyDiv w:val="1"/>
      <w:marLeft w:val="0"/>
      <w:marRight w:val="0"/>
      <w:marTop w:val="0"/>
      <w:marBottom w:val="0"/>
      <w:divBdr>
        <w:top w:val="none" w:sz="0" w:space="0" w:color="auto"/>
        <w:left w:val="none" w:sz="0" w:space="0" w:color="auto"/>
        <w:bottom w:val="none" w:sz="0" w:space="0" w:color="auto"/>
        <w:right w:val="none" w:sz="0" w:space="0" w:color="auto"/>
      </w:divBdr>
    </w:div>
    <w:div w:id="1984768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udicialapplication@gov.m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6977</Characters>
  <Application>Microsoft Office Word</Application>
  <DocSecurity>0</DocSecurity>
  <Lines>144</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Manitoba</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Kuchinski, Sandy (JUS)</dc:creator>
  <cp:lastModifiedBy>Fortier, Aimee</cp:lastModifiedBy>
  <cp:revision>3</cp:revision>
  <cp:lastPrinted>2025-08-01T18:44:00Z</cp:lastPrinted>
  <dcterms:created xsi:type="dcterms:W3CDTF">2026-03-06T20:49:00Z</dcterms:created>
  <dcterms:modified xsi:type="dcterms:W3CDTF">2026-03-06T20:49:00Z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Microsoft® Word 2016</vt:lpwstr>
  </property>
  <property fmtid="{D5CDD505-2E9C-101B-9397-08002B2CF9AE}" pid="4" name="LastSaved">
    <vt:filetime>2025-08-01T00:00:00Z</vt:filetime>
  </property>
  <property fmtid="{D5CDD505-2E9C-101B-9397-08002B2CF9AE}" pid="5" name="Producer">
    <vt:lpwstr>Microsoft® Word 2016</vt:lpwstr>
  </property>
</Properties>
</file>